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7534D3">
        <w:rPr>
          <w:rFonts w:ascii="Arial" w:eastAsia="宋体" w:hAnsi="Arial" w:cs="Arial"/>
          <w:b/>
          <w:sz w:val="24"/>
          <w:lang w:val="en-GB" w:eastAsia="ko-KR"/>
        </w:rPr>
        <w:t>10</w:t>
      </w:r>
      <w:r w:rsidR="008E3AE3">
        <w:rPr>
          <w:rFonts w:ascii="Arial" w:eastAsia="宋体" w:hAnsi="Arial" w:cs="Arial"/>
          <w:b/>
          <w:sz w:val="24"/>
          <w:lang w:val="en-GB" w:eastAsia="ko-KR"/>
        </w:rPr>
        <w:t>1</w:t>
      </w:r>
      <w:r w:rsidR="0067210E">
        <w:rPr>
          <w:rFonts w:ascii="Arial" w:eastAsia="宋体" w:hAnsi="Arial" w:cs="Arial"/>
          <w:b/>
          <w:sz w:val="24"/>
          <w:lang w:val="en-GB" w:eastAsia="ko-KR"/>
        </w:rPr>
        <w:t>e</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4B3DFE" w:rsidRPr="004B3DFE">
        <w:rPr>
          <w:rFonts w:ascii="Arial" w:eastAsia="宋体" w:hAnsi="Arial" w:cs="Arial"/>
          <w:b/>
          <w:sz w:val="24"/>
          <w:lang w:val="en-GB" w:eastAsia="ko-KR"/>
        </w:rPr>
        <w:t>R4-21</w:t>
      </w:r>
      <w:r w:rsidR="002E052E">
        <w:rPr>
          <w:rFonts w:ascii="Arial" w:eastAsia="宋体" w:hAnsi="Arial" w:cs="Arial"/>
          <w:b/>
          <w:sz w:val="24"/>
          <w:lang w:val="en-GB" w:eastAsia="ko-KR"/>
        </w:rPr>
        <w:t>1</w:t>
      </w:r>
      <w:r w:rsidR="00473D7F">
        <w:rPr>
          <w:rFonts w:ascii="Arial" w:eastAsia="宋体" w:hAnsi="Arial" w:cs="Arial"/>
          <w:b/>
          <w:sz w:val="24"/>
          <w:lang w:val="en-GB"/>
        </w:rPr>
        <w:t>7822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154760">
        <w:rPr>
          <w:rFonts w:ascii="Arial" w:eastAsia="宋体" w:hAnsi="Arial" w:cs="Arial"/>
          <w:b/>
          <w:sz w:val="24"/>
          <w:lang w:val="en-GB" w:eastAsia="ko-KR"/>
        </w:rPr>
        <w:t>1</w:t>
      </w:r>
      <w:r w:rsidR="008E3AE3">
        <w:rPr>
          <w:rFonts w:ascii="Arial" w:eastAsia="宋体" w:hAnsi="Arial" w:cs="Arial"/>
          <w:b/>
          <w:sz w:val="24"/>
          <w:vertAlign w:val="superscript"/>
          <w:lang w:val="en-GB" w:eastAsia="ko-KR"/>
        </w:rPr>
        <w:t>st</w:t>
      </w:r>
      <w:r>
        <w:rPr>
          <w:rFonts w:ascii="Arial" w:eastAsia="宋体" w:hAnsi="Arial" w:cs="Arial"/>
          <w:b/>
          <w:sz w:val="24"/>
          <w:lang w:val="en-GB" w:eastAsia="ko-KR"/>
        </w:rPr>
        <w:t xml:space="preserve"> </w:t>
      </w:r>
      <w:r w:rsidR="008E3AE3">
        <w:rPr>
          <w:rFonts w:ascii="Arial" w:eastAsia="宋体" w:hAnsi="Arial" w:cs="Arial"/>
          <w:b/>
          <w:sz w:val="24"/>
          <w:lang w:val="en-GB" w:eastAsia="ko-KR"/>
        </w:rPr>
        <w:t>Nov</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8E3AE3">
        <w:rPr>
          <w:rFonts w:ascii="Arial" w:eastAsia="宋体" w:hAnsi="Arial" w:cs="Arial"/>
          <w:b/>
          <w:sz w:val="24"/>
          <w:lang w:val="en-GB" w:eastAsia="ko-KR"/>
        </w:rPr>
        <w:t>12</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8E3AE3">
        <w:rPr>
          <w:rFonts w:ascii="Arial" w:eastAsia="宋体" w:hAnsi="Arial" w:cs="Arial"/>
          <w:b/>
          <w:sz w:val="24"/>
          <w:lang w:val="en-GB" w:eastAsia="ko-KR"/>
        </w:rPr>
        <w:t>Nov</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154760">
        <w:rPr>
          <w:rFonts w:ascii="Arial" w:eastAsia="宋体" w:hAnsi="Arial" w:cs="Arial"/>
          <w:b/>
          <w:sz w:val="24"/>
          <w:lang w:val="en-GB" w:eastAsia="ko-KR"/>
        </w:rPr>
        <w:t>Further d</w:t>
      </w:r>
      <w:r w:rsidRPr="00B40311">
        <w:rPr>
          <w:rFonts w:ascii="Arial" w:eastAsia="宋体" w:hAnsi="Arial" w:cs="Arial" w:hint="eastAsia"/>
          <w:b/>
          <w:sz w:val="24"/>
          <w:lang w:val="en-GB" w:eastAsia="ko-KR"/>
        </w:rPr>
        <w:t xml:space="preserve">iscussion on </w:t>
      </w:r>
      <w:r>
        <w:rPr>
          <w:rFonts w:ascii="Arial" w:eastAsia="宋体" w:hAnsi="Arial" w:cs="Arial"/>
          <w:b/>
          <w:sz w:val="24"/>
          <w:lang w:val="en-GB" w:eastAsia="ko-KR"/>
        </w:rPr>
        <w:t>SCell activation and deactivation requirements for PUCCH 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bookmarkStart w:id="0" w:name="_GoBack"/>
      <w:bookmarkEnd w:id="0"/>
      <w:r w:rsidR="00473D7F" w:rsidRPr="00473D7F">
        <w:rPr>
          <w:rFonts w:ascii="Arial" w:eastAsia="宋体" w:hAnsi="Arial" w:cs="Arial"/>
          <w:b/>
          <w:sz w:val="24"/>
          <w:lang w:val="en-GB"/>
        </w:rPr>
        <w:t>8</w:t>
      </w:r>
      <w:r w:rsidR="00E53D96" w:rsidRPr="00473D7F">
        <w:rPr>
          <w:rFonts w:ascii="Arial" w:eastAsia="宋体" w:hAnsi="Arial" w:cs="Arial"/>
          <w:b/>
          <w:sz w:val="24"/>
          <w:lang w:val="en-GB"/>
        </w:rPr>
        <w:t>.</w:t>
      </w:r>
      <w:r w:rsidR="002E052E" w:rsidRPr="00473D7F">
        <w:rPr>
          <w:rFonts w:ascii="Arial" w:eastAsia="宋体" w:hAnsi="Arial" w:cs="Arial"/>
          <w:b/>
          <w:sz w:val="24"/>
          <w:lang w:val="en-GB"/>
        </w:rPr>
        <w:t>10</w:t>
      </w:r>
      <w:r w:rsidR="00E53D96" w:rsidRPr="00473D7F">
        <w:rPr>
          <w:rFonts w:ascii="Arial" w:eastAsia="宋体" w:hAnsi="Arial" w:cs="Arial"/>
          <w:b/>
          <w:sz w:val="24"/>
          <w:lang w:val="en-GB"/>
        </w:rPr>
        <w:t>.2.3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67210E">
        <w:rPr>
          <w:rFonts w:ascii="Times New Roman" w:hAnsi="Times New Roman" w:cs="Times New Roman"/>
          <w:sz w:val="20"/>
          <w:szCs w:val="20"/>
        </w:rPr>
        <w:t>n RAN#</w:t>
      </w:r>
      <w:r w:rsidR="008E3AE3">
        <w:rPr>
          <w:rFonts w:ascii="Times New Roman" w:hAnsi="Times New Roman" w:cs="Times New Roman"/>
          <w:sz w:val="20"/>
          <w:szCs w:val="20"/>
        </w:rPr>
        <w:t>100</w:t>
      </w:r>
      <w:r w:rsidR="00C663E2">
        <w:rPr>
          <w:rFonts w:ascii="Times New Roman" w:hAnsi="Times New Roman" w:cs="Times New Roman"/>
          <w:sz w:val="20"/>
          <w:szCs w:val="20"/>
        </w:rPr>
        <w:t>-</w:t>
      </w:r>
      <w:r>
        <w:rPr>
          <w:rFonts w:ascii="Times New Roman" w:hAnsi="Times New Roman" w:cs="Times New Roman"/>
          <w:sz w:val="20"/>
          <w:szCs w:val="20"/>
        </w:rPr>
        <w:t xml:space="preserve">e meeting, </w:t>
      </w:r>
      <w:r w:rsidR="0067210E">
        <w:rPr>
          <w:rFonts w:ascii="Times New Roman" w:hAnsi="Times New Roman" w:cs="Times New Roman"/>
          <w:sz w:val="20"/>
          <w:szCs w:val="20"/>
        </w:rPr>
        <w:t xml:space="preserve">RAN4 had </w:t>
      </w:r>
      <w:r w:rsidR="007534D3">
        <w:rPr>
          <w:rFonts w:ascii="Times New Roman" w:hAnsi="Times New Roman" w:cs="Times New Roman"/>
          <w:sz w:val="20"/>
          <w:szCs w:val="20"/>
        </w:rPr>
        <w:t>extensive</w:t>
      </w:r>
      <w:r w:rsidR="0067210E">
        <w:rPr>
          <w:rFonts w:ascii="Times New Roman" w:hAnsi="Times New Roman" w:cs="Times New Roman"/>
          <w:sz w:val="20"/>
          <w:szCs w:val="20"/>
        </w:rPr>
        <w:t xml:space="preserve"> discussion on RRM requirements for HO with PSCell and the related WF was approved in WF [1]. In this contribution, we would like to further discuss the RRM requirements for PUCCH SCell activation/deactivation and provide our proposals.</w:t>
      </w:r>
    </w:p>
    <w:p w:rsidR="000D163E" w:rsidRDefault="000D163E" w:rsidP="000D163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A4F6B" w:rsidRPr="000A4F6B" w:rsidRDefault="000A4F6B" w:rsidP="007409ED">
      <w:pPr>
        <w:rPr>
          <w:rFonts w:ascii="Times New Roman" w:hAnsi="Times New Roman" w:cs="Times New Roman"/>
          <w:b/>
          <w:sz w:val="20"/>
          <w:szCs w:val="20"/>
          <w:u w:val="single"/>
        </w:rPr>
      </w:pPr>
      <w:r w:rsidRPr="000A4F6B">
        <w:rPr>
          <w:rFonts w:ascii="Times New Roman" w:hAnsi="Times New Roman" w:cs="Times New Roman"/>
          <w:b/>
          <w:sz w:val="20"/>
          <w:szCs w:val="20"/>
          <w:u w:val="single"/>
        </w:rPr>
        <w:t>Beam information for PUCCH SCell activation</w:t>
      </w:r>
    </w:p>
    <w:p w:rsidR="000A4F6B" w:rsidRDefault="00D7226B" w:rsidP="007409ED">
      <w:pPr>
        <w:rPr>
          <w:rFonts w:ascii="Times New Roman" w:hAnsi="Times New Roman" w:cs="Times New Roman"/>
          <w:sz w:val="20"/>
          <w:szCs w:val="20"/>
        </w:rPr>
      </w:pPr>
      <w:r>
        <w:rPr>
          <w:rFonts w:ascii="Times New Roman" w:hAnsi="Times New Roman" w:cs="Times New Roman"/>
          <w:sz w:val="20"/>
          <w:szCs w:val="20"/>
        </w:rPr>
        <w:t xml:space="preserve">According to the </w:t>
      </w:r>
      <w:r w:rsidR="001D6A5A">
        <w:rPr>
          <w:rFonts w:ascii="Times New Roman" w:hAnsi="Times New Roman" w:cs="Times New Roman"/>
          <w:sz w:val="20"/>
          <w:szCs w:val="20"/>
        </w:rPr>
        <w:t xml:space="preserve">email </w:t>
      </w:r>
      <w:r>
        <w:rPr>
          <w:rFonts w:ascii="Times New Roman" w:hAnsi="Times New Roman" w:cs="Times New Roman"/>
          <w:sz w:val="20"/>
          <w:szCs w:val="20"/>
        </w:rPr>
        <w:t xml:space="preserve">discussion </w:t>
      </w:r>
      <w:r w:rsidR="001D6A5A">
        <w:rPr>
          <w:rFonts w:ascii="Times New Roman" w:hAnsi="Times New Roman" w:cs="Times New Roman"/>
          <w:sz w:val="20"/>
          <w:szCs w:val="20"/>
        </w:rPr>
        <w:t xml:space="preserve">summary </w:t>
      </w:r>
      <w:r>
        <w:rPr>
          <w:rFonts w:ascii="Times New Roman" w:hAnsi="Times New Roman" w:cs="Times New Roman"/>
          <w:sz w:val="20"/>
          <w:szCs w:val="20"/>
        </w:rPr>
        <w:t>in</w:t>
      </w:r>
      <w:r w:rsidR="001A755D">
        <w:rPr>
          <w:rFonts w:ascii="Times New Roman" w:hAnsi="Times New Roman" w:cs="Times New Roman"/>
          <w:sz w:val="20"/>
          <w:szCs w:val="20"/>
        </w:rPr>
        <w:t xml:space="preserve"> RAN4#99e meeting</w:t>
      </w:r>
      <w:r w:rsidR="001D6A5A">
        <w:rPr>
          <w:rFonts w:ascii="Times New Roman" w:hAnsi="Times New Roman" w:cs="Times New Roman"/>
          <w:sz w:val="20"/>
          <w:szCs w:val="20"/>
        </w:rPr>
        <w:t xml:space="preserve"> [</w:t>
      </w:r>
      <w:r w:rsidR="001A755D">
        <w:rPr>
          <w:rFonts w:ascii="Times New Roman" w:hAnsi="Times New Roman" w:cs="Times New Roman"/>
          <w:sz w:val="20"/>
          <w:szCs w:val="20"/>
        </w:rPr>
        <w:t>2</w:t>
      </w:r>
      <w:r w:rsidR="001D6A5A">
        <w:rPr>
          <w:rFonts w:ascii="Times New Roman" w:hAnsi="Times New Roman" w:cs="Times New Roman"/>
          <w:sz w:val="20"/>
          <w:szCs w:val="20"/>
        </w:rPr>
        <w:t>]</w:t>
      </w:r>
      <w:r>
        <w:rPr>
          <w:rFonts w:ascii="Times New Roman" w:hAnsi="Times New Roman" w:cs="Times New Roman"/>
          <w:sz w:val="20"/>
          <w:szCs w:val="20"/>
        </w:rPr>
        <w:t>,</w:t>
      </w:r>
      <w:r w:rsidR="007409ED">
        <w:rPr>
          <w:rFonts w:ascii="Times New Roman" w:hAnsi="Times New Roman" w:cs="Times New Roman"/>
          <w:sz w:val="20"/>
          <w:szCs w:val="20"/>
        </w:rPr>
        <w:t xml:space="preserve"> if the target PUCCH SCell is known in both FR1 and FR2 or if the target PUCCH SCell is unknown in both FR1 and FR2, and there is at least one active serving cell on the same band, network can determine the associated SSB in PDCCH for RACH procedure without indicating the beam information from UE. However,</w:t>
      </w:r>
      <w:r>
        <w:rPr>
          <w:rFonts w:ascii="Times New Roman" w:hAnsi="Times New Roman" w:cs="Times New Roman"/>
          <w:sz w:val="20"/>
          <w:szCs w:val="20"/>
        </w:rPr>
        <w:t xml:space="preserve"> </w:t>
      </w:r>
      <w:r w:rsidR="00CC7309">
        <w:rPr>
          <w:rFonts w:ascii="Times New Roman" w:hAnsi="Times New Roman" w:cs="Times New Roman"/>
          <w:sz w:val="20"/>
          <w:szCs w:val="20"/>
        </w:rPr>
        <w:t xml:space="preserve">if the target PUCCH SCell is unknown in both FR1 and FR2, and there is no active serving cell on the same band, UE is required to indicate the beam information to network for determining the associated SSB in PDCCH order for RACH procedure. </w:t>
      </w:r>
      <w:r w:rsidR="000A4F6B">
        <w:rPr>
          <w:rFonts w:ascii="Times New Roman" w:hAnsi="Times New Roman" w:cs="Times New Roman"/>
          <w:sz w:val="20"/>
          <w:szCs w:val="20"/>
        </w:rPr>
        <w:t>And RAN4 agreed to send LS to RAN1/2 on the feasibility and potential solutions for the support of PUCCH SCell activation procedure for unknown cell. RAN4 may need to have the further discussion if RAN1/2 replies the LS.</w:t>
      </w:r>
    </w:p>
    <w:p w:rsidR="000A4F6B" w:rsidRDefault="009C1862" w:rsidP="007409ED">
      <w:pPr>
        <w:rPr>
          <w:rFonts w:ascii="Times New Roman" w:hAnsi="Times New Roman" w:cs="Times New Roman"/>
          <w:sz w:val="20"/>
          <w:szCs w:val="20"/>
        </w:rPr>
      </w:pPr>
      <w:r>
        <w:rPr>
          <w:rFonts w:ascii="Times New Roman" w:hAnsi="Times New Roman" w:cs="Times New Roman" w:hint="eastAsia"/>
          <w:sz w:val="20"/>
          <w:szCs w:val="20"/>
        </w:rPr>
        <w:t>R</w:t>
      </w:r>
      <w:r w:rsidR="00B06F54">
        <w:rPr>
          <w:rFonts w:ascii="Times New Roman" w:hAnsi="Times New Roman" w:cs="Times New Roman"/>
          <w:sz w:val="20"/>
          <w:szCs w:val="20"/>
        </w:rPr>
        <w:t>egarding the CS</w:t>
      </w:r>
      <w:r>
        <w:rPr>
          <w:rFonts w:ascii="Times New Roman" w:hAnsi="Times New Roman" w:cs="Times New Roman"/>
          <w:sz w:val="20"/>
          <w:szCs w:val="20"/>
        </w:rPr>
        <w:t>I reporting type</w:t>
      </w:r>
      <w:r w:rsidR="00B06F54">
        <w:rPr>
          <w:rFonts w:ascii="Times New Roman" w:hAnsi="Times New Roman" w:cs="Times New Roman"/>
          <w:sz w:val="20"/>
          <w:szCs w:val="20"/>
        </w:rPr>
        <w:t xml:space="preserve"> (periodic, aperiodic, semi-persistent) for PUCCH SCell activation,  we think it is more straightforward to follow the legacy SCell activation, in other words, the periodic and semi-persistent CSI reporting should be supported for PUCCH SCell activation.</w:t>
      </w:r>
    </w:p>
    <w:p w:rsidR="00B06F54" w:rsidRDefault="00B06F54" w:rsidP="00B06F54">
      <w:pPr>
        <w:spacing w:after="240"/>
        <w:rPr>
          <w:rFonts w:ascii="Times New Roman" w:hAnsi="Times New Roman" w:cs="Times New Roman"/>
          <w:b/>
          <w:sz w:val="20"/>
          <w:szCs w:val="20"/>
        </w:rPr>
      </w:pPr>
      <w:r w:rsidRPr="00B06F54">
        <w:rPr>
          <w:rFonts w:ascii="Times New Roman" w:hAnsi="Times New Roman" w:cs="Times New Roman"/>
          <w:b/>
          <w:sz w:val="20"/>
          <w:szCs w:val="20"/>
        </w:rPr>
        <w:t>Proposal 1: The periodic and semi-persistent CSI reporting are supported for PUCCH SCell activation.</w:t>
      </w:r>
    </w:p>
    <w:p w:rsidR="00314783" w:rsidRDefault="001A755D" w:rsidP="00804E4F">
      <w:pPr>
        <w:rPr>
          <w:rFonts w:ascii="Times New Roman" w:hAnsi="Times New Roman" w:cs="Times New Roman"/>
          <w:sz w:val="20"/>
          <w:szCs w:val="20"/>
        </w:rPr>
      </w:pPr>
      <w:r>
        <w:rPr>
          <w:rFonts w:ascii="Times New Roman" w:hAnsi="Times New Roman" w:cs="Times New Roman"/>
          <w:sz w:val="20"/>
          <w:szCs w:val="20"/>
        </w:rPr>
        <w:t xml:space="preserve">In last meeting, according the email discussion summary [3], the beam information (L1-RSRP measurement result) of PUCCH SCell for TCI determination was discussed. In legacy SCell activation, the activation delay requirement is specified </w:t>
      </w:r>
      <w:r w:rsidR="00650188">
        <w:rPr>
          <w:rFonts w:ascii="Times New Roman" w:hAnsi="Times New Roman" w:cs="Times New Roman"/>
          <w:sz w:val="20"/>
          <w:szCs w:val="20"/>
        </w:rPr>
        <w:t>without</w:t>
      </w:r>
      <w:r w:rsidR="00314783">
        <w:rPr>
          <w:rFonts w:ascii="Times New Roman" w:hAnsi="Times New Roman" w:cs="Times New Roman"/>
          <w:sz w:val="20"/>
          <w:szCs w:val="20"/>
        </w:rPr>
        <w:t xml:space="preserve"> considering L1-RSRP measurement reporting for TCI determination for the following cases:</w:t>
      </w:r>
    </w:p>
    <w:p w:rsidR="001A755D" w:rsidRDefault="00314783" w:rsidP="00314783">
      <w:pPr>
        <w:pStyle w:val="a7"/>
        <w:numPr>
          <w:ilvl w:val="0"/>
          <w:numId w:val="16"/>
        </w:numPr>
        <w:spacing w:after="240"/>
        <w:rPr>
          <w:rFonts w:eastAsiaTheme="minorEastAsia"/>
          <w:kern w:val="2"/>
          <w:sz w:val="20"/>
          <w:szCs w:val="20"/>
          <w:lang w:eastAsia="zh-CN"/>
        </w:rPr>
      </w:pPr>
      <w:r w:rsidRPr="00314783">
        <w:rPr>
          <w:rFonts w:eastAsiaTheme="minorEastAsia" w:hint="eastAsia"/>
          <w:kern w:val="2"/>
          <w:sz w:val="20"/>
          <w:szCs w:val="20"/>
          <w:lang w:eastAsia="zh-CN"/>
        </w:rPr>
        <w:t>C</w:t>
      </w:r>
      <w:r w:rsidRPr="00314783">
        <w:rPr>
          <w:rFonts w:eastAsiaTheme="minorEastAsia"/>
          <w:kern w:val="2"/>
          <w:sz w:val="20"/>
          <w:szCs w:val="20"/>
          <w:lang w:eastAsia="zh-CN"/>
        </w:rPr>
        <w:t>ase</w:t>
      </w:r>
      <w:r w:rsidR="00804E4F">
        <w:rPr>
          <w:rFonts w:eastAsiaTheme="minorEastAsia"/>
          <w:kern w:val="2"/>
          <w:sz w:val="20"/>
          <w:szCs w:val="20"/>
          <w:lang w:eastAsia="zh-CN"/>
        </w:rPr>
        <w:t xml:space="preserve"> </w:t>
      </w:r>
      <w:r w:rsidRPr="00314783">
        <w:rPr>
          <w:rFonts w:eastAsiaTheme="minorEastAsia"/>
          <w:kern w:val="2"/>
          <w:sz w:val="20"/>
          <w:szCs w:val="20"/>
          <w:lang w:eastAsia="zh-CN"/>
        </w:rPr>
        <w:t xml:space="preserve">1: </w:t>
      </w:r>
      <w:r w:rsidR="00804E4F">
        <w:rPr>
          <w:rFonts w:eastAsiaTheme="minorEastAsia"/>
          <w:kern w:val="2"/>
          <w:sz w:val="20"/>
          <w:szCs w:val="20"/>
          <w:lang w:eastAsia="zh-CN"/>
        </w:rPr>
        <w:t>the target SCell is unknown</w:t>
      </w:r>
      <w:r w:rsidR="00650188">
        <w:rPr>
          <w:rFonts w:eastAsiaTheme="minorEastAsia"/>
          <w:kern w:val="2"/>
          <w:sz w:val="20"/>
          <w:szCs w:val="20"/>
          <w:lang w:eastAsia="zh-CN"/>
        </w:rPr>
        <w:t xml:space="preserve"> and belongs to FR1, and </w:t>
      </w:r>
      <w:r w:rsidR="00650188" w:rsidRPr="00650188">
        <w:rPr>
          <w:rFonts w:eastAsiaTheme="minorEastAsia"/>
          <w:kern w:val="2"/>
          <w:sz w:val="20"/>
          <w:szCs w:val="20"/>
          <w:lang w:eastAsia="zh-CN"/>
        </w:rPr>
        <w:t>the SCell is contiguous to an active serving cell in the same band</w:t>
      </w:r>
      <w:r w:rsidR="00804E4F">
        <w:rPr>
          <w:rFonts w:eastAsiaTheme="minorEastAsia"/>
          <w:kern w:val="2"/>
          <w:sz w:val="20"/>
          <w:szCs w:val="20"/>
          <w:lang w:eastAsia="zh-CN"/>
        </w:rPr>
        <w:t>;</w:t>
      </w:r>
    </w:p>
    <w:p w:rsidR="00314783" w:rsidRPr="00314783" w:rsidRDefault="00314783" w:rsidP="00650188">
      <w:pPr>
        <w:pStyle w:val="a7"/>
        <w:numPr>
          <w:ilvl w:val="0"/>
          <w:numId w:val="16"/>
        </w:numPr>
        <w:rPr>
          <w:rFonts w:eastAsiaTheme="minorEastAsia"/>
          <w:kern w:val="2"/>
          <w:sz w:val="20"/>
          <w:szCs w:val="20"/>
          <w:lang w:eastAsia="zh-CN"/>
        </w:rPr>
      </w:pPr>
      <w:r>
        <w:rPr>
          <w:rFonts w:eastAsiaTheme="minorEastAsia"/>
          <w:kern w:val="2"/>
          <w:sz w:val="20"/>
          <w:szCs w:val="20"/>
          <w:lang w:eastAsia="zh-CN"/>
        </w:rPr>
        <w:t>Case 2:</w:t>
      </w:r>
      <w:r w:rsidR="00804E4F">
        <w:rPr>
          <w:rFonts w:eastAsiaTheme="minorEastAsia"/>
          <w:kern w:val="2"/>
          <w:sz w:val="20"/>
          <w:szCs w:val="20"/>
          <w:lang w:eastAsia="zh-CN"/>
        </w:rPr>
        <w:t xml:space="preserve"> </w:t>
      </w:r>
      <w:r w:rsidR="00650188">
        <w:rPr>
          <w:rFonts w:eastAsiaTheme="minorEastAsia"/>
          <w:kern w:val="2"/>
          <w:sz w:val="20"/>
          <w:szCs w:val="20"/>
          <w:lang w:eastAsia="zh-CN"/>
        </w:rPr>
        <w:t>the target SCell is unknown and belongs to FR2,</w:t>
      </w:r>
      <w:r w:rsidR="00650188" w:rsidRPr="00650188">
        <w:rPr>
          <w:rFonts w:eastAsiaTheme="minorEastAsia"/>
          <w:kern w:val="2"/>
          <w:sz w:val="20"/>
          <w:szCs w:val="20"/>
          <w:lang w:eastAsia="zh-CN"/>
        </w:rPr>
        <w:t xml:space="preserve"> and there is at least one active serving cell on that FR2 band</w:t>
      </w:r>
    </w:p>
    <w:p w:rsidR="00650188" w:rsidRDefault="00650188" w:rsidP="007409ED">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other cases, the L1-RSRP measurement reporting for TCI determination should be considered. And we think the similar way can follow for PUCCH SCell activation.</w:t>
      </w:r>
    </w:p>
    <w:p w:rsidR="00650188" w:rsidRPr="00650188" w:rsidRDefault="00650188" w:rsidP="007409ED">
      <w:pPr>
        <w:rPr>
          <w:rFonts w:ascii="Times New Roman" w:hAnsi="Times New Roman" w:cs="Times New Roman"/>
          <w:b/>
          <w:sz w:val="20"/>
          <w:szCs w:val="20"/>
        </w:rPr>
      </w:pPr>
      <w:r w:rsidRPr="00650188">
        <w:rPr>
          <w:rFonts w:ascii="Times New Roman" w:hAnsi="Times New Roman" w:cs="Times New Roman"/>
          <w:b/>
          <w:sz w:val="20"/>
          <w:szCs w:val="20"/>
        </w:rPr>
        <w:lastRenderedPageBreak/>
        <w:t>Proposal 2: For PUCCH SCell activation, there is no need to report L1-RSRP measurement of PUCCH SCell for TCI determination for the following cases:</w:t>
      </w:r>
    </w:p>
    <w:p w:rsidR="00650188" w:rsidRPr="00650188" w:rsidRDefault="00650188" w:rsidP="00650188">
      <w:pPr>
        <w:pStyle w:val="a7"/>
        <w:numPr>
          <w:ilvl w:val="0"/>
          <w:numId w:val="16"/>
        </w:numPr>
        <w:spacing w:after="240"/>
        <w:rPr>
          <w:rFonts w:eastAsiaTheme="minorEastAsia"/>
          <w:b/>
          <w:kern w:val="2"/>
          <w:sz w:val="20"/>
          <w:szCs w:val="20"/>
          <w:lang w:eastAsia="zh-CN"/>
        </w:rPr>
      </w:pPr>
      <w:r w:rsidRPr="00650188">
        <w:rPr>
          <w:rFonts w:eastAsiaTheme="minorEastAsia" w:hint="eastAsia"/>
          <w:b/>
          <w:kern w:val="2"/>
          <w:sz w:val="20"/>
          <w:szCs w:val="20"/>
          <w:lang w:eastAsia="zh-CN"/>
        </w:rPr>
        <w:t>C</w:t>
      </w:r>
      <w:r w:rsidRPr="00650188">
        <w:rPr>
          <w:rFonts w:eastAsiaTheme="minorEastAsia"/>
          <w:b/>
          <w:kern w:val="2"/>
          <w:sz w:val="20"/>
          <w:szCs w:val="20"/>
          <w:lang w:eastAsia="zh-CN"/>
        </w:rPr>
        <w:t>ase 1: the target SCell is unknown and belongs to FR1, and the SCell is contiguous to an active serving cell in the same band;</w:t>
      </w:r>
    </w:p>
    <w:p w:rsidR="00650188" w:rsidRPr="00650188" w:rsidRDefault="00650188" w:rsidP="00650188">
      <w:pPr>
        <w:pStyle w:val="a7"/>
        <w:numPr>
          <w:ilvl w:val="0"/>
          <w:numId w:val="16"/>
        </w:numPr>
        <w:rPr>
          <w:rFonts w:eastAsiaTheme="minorEastAsia"/>
          <w:b/>
          <w:kern w:val="2"/>
          <w:sz w:val="20"/>
          <w:szCs w:val="20"/>
          <w:lang w:eastAsia="zh-CN"/>
        </w:rPr>
      </w:pPr>
      <w:r w:rsidRPr="00650188">
        <w:rPr>
          <w:rFonts w:eastAsiaTheme="minorEastAsia"/>
          <w:b/>
          <w:kern w:val="2"/>
          <w:sz w:val="20"/>
          <w:szCs w:val="20"/>
          <w:lang w:eastAsia="zh-CN"/>
        </w:rPr>
        <w:t>Case 2: the target SCell is unknown and belongs to FR</w:t>
      </w:r>
      <w:r>
        <w:rPr>
          <w:rFonts w:eastAsiaTheme="minorEastAsia"/>
          <w:b/>
          <w:kern w:val="2"/>
          <w:sz w:val="20"/>
          <w:szCs w:val="20"/>
          <w:lang w:eastAsia="zh-CN"/>
        </w:rPr>
        <w:t>2</w:t>
      </w:r>
      <w:r w:rsidRPr="00650188">
        <w:rPr>
          <w:rFonts w:eastAsiaTheme="minorEastAsia"/>
          <w:b/>
          <w:kern w:val="2"/>
          <w:sz w:val="20"/>
          <w:szCs w:val="20"/>
          <w:lang w:eastAsia="zh-CN"/>
        </w:rPr>
        <w:t>, and there is at least one active serving cell on that FR2 band</w:t>
      </w:r>
    </w:p>
    <w:p w:rsidR="00650188" w:rsidRPr="00404DB5" w:rsidRDefault="00650188" w:rsidP="00404DB5">
      <w:pPr>
        <w:spacing w:after="240"/>
        <w:rPr>
          <w:rFonts w:ascii="Times New Roman" w:hAnsi="Times New Roman" w:cs="Times New Roman"/>
          <w:b/>
          <w:sz w:val="20"/>
          <w:szCs w:val="20"/>
        </w:rPr>
      </w:pPr>
      <w:r w:rsidRPr="00650188">
        <w:rPr>
          <w:rFonts w:ascii="Times New Roman" w:hAnsi="Times New Roman" w:cs="Times New Roman"/>
          <w:b/>
          <w:sz w:val="20"/>
          <w:szCs w:val="20"/>
        </w:rPr>
        <w:t>For other cases, the L1-RSRP measurement reporting of PUCCH SCell for TCI determination is needed.</w:t>
      </w:r>
    </w:p>
    <w:p w:rsidR="00460F71" w:rsidRPr="00650188" w:rsidRDefault="00650188" w:rsidP="00927F9D">
      <w:pPr>
        <w:rPr>
          <w:rFonts w:ascii="Times New Roman" w:hAnsi="Times New Roman" w:cs="Times New Roman"/>
          <w:b/>
          <w:sz w:val="20"/>
          <w:szCs w:val="20"/>
          <w:u w:val="single"/>
        </w:rPr>
      </w:pPr>
      <w:r w:rsidRPr="00650188">
        <w:rPr>
          <w:rFonts w:ascii="Times New Roman" w:hAnsi="Times New Roman" w:cs="Times New Roman"/>
          <w:b/>
          <w:sz w:val="20"/>
          <w:szCs w:val="20"/>
          <w:u w:val="single"/>
        </w:rPr>
        <w:t>PUCCH Scell activation delay requirement for invalid TA case</w:t>
      </w:r>
    </w:p>
    <w:p w:rsidR="006A69F0" w:rsidRDefault="00DD2A2B" w:rsidP="00927F9D">
      <w:pPr>
        <w:rPr>
          <w:rFonts w:ascii="Times New Roman" w:hAnsi="Times New Roman" w:cs="Times New Roman"/>
          <w:sz w:val="20"/>
          <w:szCs w:val="20"/>
        </w:rPr>
      </w:pPr>
      <w:r>
        <w:rPr>
          <w:rFonts w:ascii="Times New Roman" w:hAnsi="Times New Roman" w:cs="Times New Roman"/>
          <w:sz w:val="20"/>
          <w:szCs w:val="20"/>
        </w:rPr>
        <w:t xml:space="preserve">If UE does not have the valid TA on the PUCCH SCell being activated, </w:t>
      </w:r>
      <w:r w:rsidR="00024DE8">
        <w:rPr>
          <w:rFonts w:ascii="Times New Roman" w:hAnsi="Times New Roman" w:cs="Times New Roman"/>
          <w:sz w:val="20"/>
          <w:szCs w:val="20"/>
        </w:rPr>
        <w:t>in addition to the basic SCell activation procedure</w:t>
      </w:r>
      <w:r w:rsidR="00280D74">
        <w:rPr>
          <w:rFonts w:ascii="Times New Roman" w:hAnsi="Times New Roman" w:cs="Times New Roman"/>
          <w:sz w:val="20"/>
          <w:szCs w:val="20"/>
        </w:rPr>
        <w:t>, the UE also needs to perform an additional UL synchronization pr</w:t>
      </w:r>
      <w:r w:rsidR="00DB1E7D">
        <w:rPr>
          <w:rFonts w:ascii="Times New Roman" w:hAnsi="Times New Roman" w:cs="Times New Roman"/>
          <w:sz w:val="20"/>
          <w:szCs w:val="20"/>
        </w:rPr>
        <w:t xml:space="preserve">ocedure to obtain the valid TA which is </w:t>
      </w:r>
      <w:r w:rsidR="00280D74">
        <w:rPr>
          <w:rFonts w:ascii="Times New Roman" w:hAnsi="Times New Roman" w:cs="Times New Roman"/>
          <w:sz w:val="20"/>
          <w:szCs w:val="20"/>
        </w:rPr>
        <w:t>similar to the situation discussed in LTE</w:t>
      </w:r>
      <w:r w:rsidR="00883B49">
        <w:rPr>
          <w:rFonts w:ascii="Times New Roman" w:hAnsi="Times New Roman" w:cs="Times New Roman"/>
          <w:sz w:val="20"/>
          <w:szCs w:val="20"/>
        </w:rPr>
        <w:t xml:space="preserve"> in [</w:t>
      </w:r>
      <w:r w:rsidR="00801DF1">
        <w:rPr>
          <w:rFonts w:ascii="Times New Roman" w:hAnsi="Times New Roman" w:cs="Times New Roman"/>
          <w:sz w:val="20"/>
          <w:szCs w:val="20"/>
        </w:rPr>
        <w:t>4</w:t>
      </w:r>
      <w:r w:rsidR="00883B49">
        <w:rPr>
          <w:rFonts w:ascii="Times New Roman" w:hAnsi="Times New Roman" w:cs="Times New Roman"/>
          <w:sz w:val="20"/>
          <w:szCs w:val="20"/>
        </w:rPr>
        <w:t>]</w:t>
      </w:r>
      <w:r w:rsidR="00DB1E7D">
        <w:rPr>
          <w:rFonts w:ascii="Times New Roman" w:hAnsi="Times New Roman" w:cs="Times New Roman"/>
          <w:sz w:val="20"/>
          <w:szCs w:val="20"/>
        </w:rPr>
        <w:t>. Hence,</w:t>
      </w:r>
      <w:r w:rsidR="00280D74">
        <w:rPr>
          <w:rFonts w:ascii="Times New Roman" w:hAnsi="Times New Roman" w:cs="Times New Roman"/>
          <w:sz w:val="20"/>
          <w:szCs w:val="20"/>
        </w:rPr>
        <w:t xml:space="preserve"> the </w:t>
      </w:r>
      <w:r w:rsidR="006A69F0">
        <w:rPr>
          <w:rFonts w:ascii="Times New Roman" w:hAnsi="Times New Roman" w:cs="Times New Roman"/>
          <w:sz w:val="20"/>
          <w:szCs w:val="20"/>
        </w:rPr>
        <w:t>following procedure shall be considered to obtain the valid TA:</w:t>
      </w:r>
    </w:p>
    <w:p w:rsidR="00DD2A2B"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uncertainty in acquiring the first available PRACH occasion in the PUCCH SCell</w:t>
      </w:r>
      <w:r w:rsidR="00460F71">
        <w:rPr>
          <w:rFonts w:eastAsiaTheme="minorEastAsia"/>
          <w:kern w:val="2"/>
          <w:sz w:val="20"/>
          <w:szCs w:val="20"/>
          <w:lang w:eastAsia="zh-CN"/>
        </w:rPr>
        <w:t xml:space="preserve"> (T1)</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Pr>
          <w:rFonts w:eastAsiaTheme="minorEastAsia"/>
          <w:kern w:val="2"/>
          <w:sz w:val="20"/>
          <w:szCs w:val="20"/>
          <w:lang w:eastAsia="zh-CN"/>
        </w:rPr>
        <w:t xml:space="preserve">the delay </w:t>
      </w:r>
      <w:r w:rsidRPr="006A69F0">
        <w:rPr>
          <w:rFonts w:eastAsiaTheme="minorEastAsia" w:hint="eastAsia"/>
          <w:kern w:val="2"/>
          <w:sz w:val="20"/>
          <w:szCs w:val="20"/>
          <w:lang w:eastAsia="zh-CN"/>
        </w:rPr>
        <w:t xml:space="preserve">for </w:t>
      </w:r>
      <w:r w:rsidRPr="006A69F0">
        <w:rPr>
          <w:rFonts w:eastAsiaTheme="minorEastAsia"/>
          <w:kern w:val="2"/>
          <w:sz w:val="20"/>
          <w:szCs w:val="20"/>
          <w:lang w:eastAsia="zh-CN"/>
        </w:rPr>
        <w:t xml:space="preserve">obtaining a valid TA command for </w:t>
      </w:r>
      <w:r w:rsidRPr="006A69F0">
        <w:rPr>
          <w:rFonts w:eastAsiaTheme="minorEastAsia" w:hint="eastAsia"/>
          <w:kern w:val="2"/>
          <w:sz w:val="20"/>
          <w:szCs w:val="20"/>
          <w:lang w:eastAsia="zh-CN"/>
        </w:rPr>
        <w:t xml:space="preserve">the </w:t>
      </w:r>
      <w:r w:rsidRPr="006A69F0">
        <w:rPr>
          <w:rFonts w:eastAsiaTheme="minorEastAsia"/>
          <w:kern w:val="2"/>
          <w:sz w:val="20"/>
          <w:szCs w:val="20"/>
          <w:lang w:eastAsia="zh-CN"/>
        </w:rPr>
        <w:t>sTAG</w:t>
      </w:r>
      <w:r w:rsidRPr="006A69F0">
        <w:rPr>
          <w:rFonts w:eastAsiaTheme="minorEastAsia" w:hint="eastAsia"/>
          <w:kern w:val="2"/>
          <w:sz w:val="20"/>
          <w:szCs w:val="20"/>
          <w:lang w:eastAsia="zh-CN"/>
        </w:rPr>
        <w:t xml:space="preserve"> to which the </w:t>
      </w:r>
      <w:r w:rsidRPr="006A69F0">
        <w:rPr>
          <w:rFonts w:eastAsiaTheme="minorEastAsia"/>
          <w:kern w:val="2"/>
          <w:sz w:val="20"/>
          <w:szCs w:val="20"/>
          <w:lang w:eastAsia="zh-CN"/>
        </w:rPr>
        <w:t xml:space="preserve">SCell configured with </w:t>
      </w:r>
      <w:r w:rsidRPr="006A69F0">
        <w:rPr>
          <w:rFonts w:eastAsiaTheme="minorEastAsia" w:hint="eastAsia"/>
          <w:kern w:val="2"/>
          <w:sz w:val="20"/>
          <w:szCs w:val="20"/>
          <w:lang w:eastAsia="zh-CN"/>
        </w:rPr>
        <w:t>PUCCH</w:t>
      </w:r>
      <w:r w:rsidRPr="006A69F0">
        <w:rPr>
          <w:rFonts w:eastAsiaTheme="minorEastAsia"/>
          <w:kern w:val="2"/>
          <w:sz w:val="20"/>
          <w:szCs w:val="20"/>
          <w:lang w:eastAsia="zh-CN"/>
        </w:rPr>
        <w:t xml:space="preserve"> </w:t>
      </w:r>
      <w:r w:rsidRPr="006A69F0">
        <w:rPr>
          <w:rFonts w:eastAsiaTheme="minorEastAsia" w:hint="eastAsia"/>
          <w:kern w:val="2"/>
          <w:sz w:val="20"/>
          <w:szCs w:val="20"/>
          <w:lang w:eastAsia="zh-CN"/>
        </w:rPr>
        <w:t>belongs</w:t>
      </w:r>
      <w:r w:rsidR="00460F71">
        <w:rPr>
          <w:rFonts w:eastAsiaTheme="minorEastAsia"/>
          <w:kern w:val="2"/>
          <w:sz w:val="20"/>
          <w:szCs w:val="20"/>
          <w:lang w:eastAsia="zh-CN"/>
        </w:rPr>
        <w:t xml:space="preserve"> (T2)</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for app</w:t>
      </w:r>
      <w:r w:rsidR="000B0588">
        <w:rPr>
          <w:rFonts w:eastAsiaTheme="minorEastAsia"/>
          <w:kern w:val="2"/>
          <w:sz w:val="20"/>
          <w:szCs w:val="20"/>
          <w:lang w:eastAsia="zh-CN"/>
        </w:rPr>
        <w:t>lying the received TA for uplink</w:t>
      </w:r>
      <w:r w:rsidRPr="006A69F0">
        <w:rPr>
          <w:rFonts w:eastAsiaTheme="minorEastAsia"/>
          <w:kern w:val="2"/>
          <w:sz w:val="20"/>
          <w:szCs w:val="20"/>
          <w:lang w:eastAsia="zh-CN"/>
        </w:rPr>
        <w:t xml:space="preserve"> transmission</w:t>
      </w:r>
      <w:r w:rsidR="00460F71">
        <w:rPr>
          <w:rFonts w:eastAsiaTheme="minorEastAsia"/>
          <w:kern w:val="2"/>
          <w:sz w:val="20"/>
          <w:szCs w:val="20"/>
          <w:lang w:eastAsia="zh-CN"/>
        </w:rPr>
        <w:t xml:space="preserve"> (T3).</w:t>
      </w:r>
    </w:p>
    <w:p w:rsidR="00460F71" w:rsidRPr="00460F71" w:rsidRDefault="00460F71" w:rsidP="00460F71">
      <w:pPr>
        <w:rPr>
          <w:rFonts w:ascii="Times New Roman" w:hAnsi="Times New Roman" w:cs="Times New Roman"/>
          <w:sz w:val="20"/>
          <w:szCs w:val="20"/>
        </w:rPr>
      </w:pPr>
      <w:r w:rsidRPr="00460F71">
        <w:rPr>
          <w:rFonts w:ascii="Times New Roman" w:hAnsi="Times New Roman" w:cs="Times New Roman" w:hint="eastAsia"/>
          <w:sz w:val="20"/>
          <w:szCs w:val="20"/>
        </w:rPr>
        <w:t>W</w:t>
      </w:r>
      <w:r w:rsidRPr="00460F71">
        <w:rPr>
          <w:rFonts w:ascii="Times New Roman" w:hAnsi="Times New Roman" w:cs="Times New Roman"/>
          <w:sz w:val="20"/>
          <w:szCs w:val="20"/>
        </w:rPr>
        <w:t>here:</w:t>
      </w:r>
    </w:p>
    <w:p w:rsidR="00B83D43" w:rsidRPr="00460F71" w:rsidRDefault="00460F71" w:rsidP="00460F71">
      <w:pPr>
        <w:pStyle w:val="a7"/>
        <w:numPr>
          <w:ilvl w:val="0"/>
          <w:numId w:val="13"/>
        </w:numPr>
        <w:rPr>
          <w:sz w:val="20"/>
          <w:szCs w:val="20"/>
        </w:rPr>
      </w:pPr>
      <w:r w:rsidRPr="00460F71">
        <w:rPr>
          <w:sz w:val="20"/>
          <w:szCs w:val="20"/>
        </w:rPr>
        <w:t xml:space="preserve">T1 </w:t>
      </w:r>
      <w:r w:rsidR="00CF7FFC" w:rsidRPr="00460F71">
        <w:rPr>
          <w:sz w:val="20"/>
          <w:szCs w:val="20"/>
        </w:rPr>
        <w:t xml:space="preserve">is up to the summation of SSB to PRACH occasion association period and 10 ms. SSB to PRACH occasion associated period is defined </w:t>
      </w:r>
      <w:r w:rsidRPr="00460F71">
        <w:rPr>
          <w:sz w:val="20"/>
          <w:szCs w:val="20"/>
        </w:rPr>
        <w:t>in the table 8.1-1 of TS 38.213;</w:t>
      </w:r>
    </w:p>
    <w:p w:rsidR="00B83D43" w:rsidRDefault="00460F71" w:rsidP="00460F71">
      <w:pPr>
        <w:pStyle w:val="a7"/>
        <w:numPr>
          <w:ilvl w:val="0"/>
          <w:numId w:val="13"/>
        </w:numPr>
        <w:rPr>
          <w:sz w:val="20"/>
          <w:szCs w:val="20"/>
        </w:rPr>
      </w:pPr>
      <w:r>
        <w:rPr>
          <w:sz w:val="20"/>
          <w:szCs w:val="20"/>
        </w:rPr>
        <w:t>T2</w:t>
      </w:r>
      <w:r w:rsidRPr="00460F71">
        <w:rPr>
          <w:sz w:val="20"/>
          <w:szCs w:val="20"/>
        </w:rPr>
        <w:t xml:space="preserve"> </w:t>
      </w:r>
      <w:r w:rsidR="00CF7FFC" w:rsidRPr="00460F71">
        <w:rPr>
          <w:sz w:val="20"/>
          <w:szCs w:val="20"/>
        </w:rPr>
        <w:t>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r>
        <w:rPr>
          <w:sz w:val="20"/>
          <w:szCs w:val="20"/>
        </w:rPr>
        <w:t>;</w:t>
      </w:r>
    </w:p>
    <w:p w:rsidR="00460F71" w:rsidRPr="00460F71" w:rsidRDefault="00CF7FFC" w:rsidP="00460F71">
      <w:pPr>
        <w:pStyle w:val="a7"/>
        <w:numPr>
          <w:ilvl w:val="0"/>
          <w:numId w:val="13"/>
        </w:numPr>
        <w:rPr>
          <w:sz w:val="20"/>
          <w:szCs w:val="20"/>
        </w:rPr>
      </w:pPr>
      <w:r w:rsidRPr="00460F71">
        <w:rPr>
          <w:sz w:val="20"/>
          <w:szCs w:val="20"/>
        </w:rPr>
        <w:t>T3 is the delay for applying the received TA for uplink transmission on target PUCCH SCell being activated, and greater than or equal to k+1 slot, where k is defined in clause 4.2 in TS 38.213.</w:t>
      </w:r>
    </w:p>
    <w:p w:rsidR="006A69F0" w:rsidRPr="00D851E7" w:rsidRDefault="006A69F0" w:rsidP="00D851E7">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sidR="00404DB5">
        <w:rPr>
          <w:rFonts w:ascii="Times New Roman" w:hAnsi="Times New Roman" w:cs="Times New Roman"/>
          <w:b/>
          <w:sz w:val="20"/>
          <w:szCs w:val="20"/>
        </w:rPr>
        <w:t>3</w:t>
      </w:r>
      <w:r w:rsidRPr="00D851E7">
        <w:rPr>
          <w:rFonts w:ascii="Times New Roman" w:hAnsi="Times New Roman" w:cs="Times New Roman"/>
          <w:b/>
          <w:sz w:val="20"/>
          <w:szCs w:val="20"/>
        </w:rPr>
        <w:t>: If UE does not have the valid TA on the PUCCH SCell being activated,</w:t>
      </w:r>
      <w:r w:rsidR="00D851E7" w:rsidRPr="00D851E7">
        <w:rPr>
          <w:rFonts w:ascii="Times New Roman" w:hAnsi="Times New Roman" w:cs="Times New Roman"/>
          <w:b/>
          <w:sz w:val="20"/>
          <w:szCs w:val="20"/>
        </w:rPr>
        <w:t xml:space="preserve"> an additional UL synchronization procedure to obtain the valid TA shall be considered which including the following factors:</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uncertainty in acquiring the first available PRACH occasion in the PUCCH SCell</w:t>
      </w:r>
      <w:r w:rsidR="00460F71">
        <w:rPr>
          <w:rFonts w:eastAsiaTheme="minorEastAsia"/>
          <w:b/>
          <w:kern w:val="2"/>
          <w:sz w:val="20"/>
          <w:szCs w:val="20"/>
          <w:lang w:eastAsia="zh-CN"/>
        </w:rPr>
        <w:t xml:space="preserve"> (T1)</w:t>
      </w:r>
      <w:r w:rsidRPr="00D851E7">
        <w:rPr>
          <w:rFonts w:eastAsiaTheme="minorEastAsia"/>
          <w:b/>
          <w:kern w:val="2"/>
          <w:sz w:val="20"/>
          <w:szCs w:val="20"/>
          <w:lang w:eastAsia="zh-CN"/>
        </w:rPr>
        <w:t>;</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sidR="00460F71">
        <w:rPr>
          <w:rFonts w:eastAsiaTheme="minorEastAsia"/>
          <w:b/>
          <w:kern w:val="2"/>
          <w:sz w:val="20"/>
          <w:szCs w:val="20"/>
          <w:lang w:eastAsia="zh-CN"/>
        </w:rPr>
        <w:t xml:space="preserve"> (T2)</w:t>
      </w:r>
      <w:r w:rsidRPr="00D851E7">
        <w:rPr>
          <w:rFonts w:eastAsiaTheme="minorEastAsia"/>
          <w:b/>
          <w:kern w:val="2"/>
          <w:sz w:val="20"/>
          <w:szCs w:val="20"/>
          <w:lang w:eastAsia="zh-CN"/>
        </w:rPr>
        <w:t>;</w:t>
      </w:r>
    </w:p>
    <w:p w:rsid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for app</w:t>
      </w:r>
      <w:r w:rsidR="004B3DFE">
        <w:rPr>
          <w:rFonts w:eastAsiaTheme="minorEastAsia"/>
          <w:b/>
          <w:kern w:val="2"/>
          <w:sz w:val="20"/>
          <w:szCs w:val="20"/>
          <w:lang w:eastAsia="zh-CN"/>
        </w:rPr>
        <w:t>lying the received TA for uplin</w:t>
      </w:r>
      <w:r w:rsidR="004B3DFE">
        <w:rPr>
          <w:rFonts w:eastAsiaTheme="minorEastAsia" w:hint="eastAsia"/>
          <w:b/>
          <w:kern w:val="2"/>
          <w:sz w:val="20"/>
          <w:szCs w:val="20"/>
          <w:lang w:eastAsia="zh-CN"/>
        </w:rPr>
        <w:t>k</w:t>
      </w:r>
      <w:r w:rsidRPr="00D851E7">
        <w:rPr>
          <w:rFonts w:eastAsiaTheme="minorEastAsia"/>
          <w:b/>
          <w:kern w:val="2"/>
          <w:sz w:val="20"/>
          <w:szCs w:val="20"/>
          <w:lang w:eastAsia="zh-CN"/>
        </w:rPr>
        <w:t xml:space="preserve"> transmission</w:t>
      </w:r>
      <w:r w:rsidR="00460F71">
        <w:rPr>
          <w:rFonts w:eastAsiaTheme="minorEastAsia"/>
          <w:b/>
          <w:kern w:val="2"/>
          <w:sz w:val="20"/>
          <w:szCs w:val="20"/>
          <w:lang w:eastAsia="zh-CN"/>
        </w:rPr>
        <w:t xml:space="preserve"> (T3).</w:t>
      </w:r>
    </w:p>
    <w:p w:rsidR="00460F71" w:rsidRPr="00460F71" w:rsidRDefault="00460F71" w:rsidP="00460F71">
      <w:pPr>
        <w:rPr>
          <w:rFonts w:ascii="Times New Roman" w:hAnsi="Times New Roman" w:cs="Times New Roman"/>
          <w:b/>
          <w:sz w:val="20"/>
          <w:szCs w:val="20"/>
        </w:rPr>
      </w:pPr>
      <w:r w:rsidRPr="00460F71">
        <w:rPr>
          <w:rFonts w:ascii="Times New Roman" w:hAnsi="Times New Roman" w:cs="Times New Roman" w:hint="eastAsia"/>
          <w:b/>
          <w:sz w:val="20"/>
          <w:szCs w:val="20"/>
        </w:rPr>
        <w:t>W</w:t>
      </w:r>
      <w:r w:rsidRPr="00460F71">
        <w:rPr>
          <w:rFonts w:ascii="Times New Roman" w:hAnsi="Times New Roman" w:cs="Times New Roman"/>
          <w:b/>
          <w:sz w:val="20"/>
          <w:szCs w:val="20"/>
        </w:rPr>
        <w:t>here:</w:t>
      </w:r>
    </w:p>
    <w:p w:rsidR="00460F71" w:rsidRPr="00460F71" w:rsidRDefault="00460F71" w:rsidP="00460F71">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T1 is up to the summation of SSB to PRACH occasion association period and 10 ms. SSB to PRACH occasion associated period is defined in the table 8.1-1 of TS 38.213;</w:t>
      </w:r>
    </w:p>
    <w:p w:rsidR="00460F71" w:rsidRPr="00460F71" w:rsidRDefault="00460F71" w:rsidP="00460F71">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T2 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p>
    <w:p w:rsidR="00460F71" w:rsidRPr="00460F71" w:rsidRDefault="00460F71" w:rsidP="00404DB5">
      <w:pPr>
        <w:pStyle w:val="a7"/>
        <w:numPr>
          <w:ilvl w:val="0"/>
          <w:numId w:val="13"/>
        </w:numPr>
        <w:spacing w:after="240"/>
        <w:rPr>
          <w:rFonts w:eastAsiaTheme="minorEastAsia"/>
          <w:b/>
          <w:kern w:val="2"/>
          <w:sz w:val="20"/>
          <w:szCs w:val="20"/>
          <w:lang w:eastAsia="zh-CN"/>
        </w:rPr>
      </w:pPr>
      <w:r w:rsidRPr="00460F71">
        <w:rPr>
          <w:rFonts w:eastAsiaTheme="minorEastAsia"/>
          <w:b/>
          <w:kern w:val="2"/>
          <w:sz w:val="20"/>
          <w:szCs w:val="20"/>
          <w:lang w:eastAsia="zh-CN"/>
        </w:rPr>
        <w:lastRenderedPageBreak/>
        <w:t>T3 is the delay for applying the received TA for uplink transmission on target PUCCH SCell being activated, and greater than or equal to k+1 slot, where k is defined in clause 4.2 in TS 38.213.</w:t>
      </w:r>
    </w:p>
    <w:p w:rsidR="00460F71" w:rsidRPr="00404DB5" w:rsidRDefault="00404DB5" w:rsidP="00460F71">
      <w:pPr>
        <w:rPr>
          <w:rFonts w:ascii="Times New Roman" w:hAnsi="Times New Roman" w:cs="Times New Roman"/>
          <w:b/>
          <w:sz w:val="20"/>
          <w:szCs w:val="20"/>
          <w:u w:val="single"/>
        </w:rPr>
      </w:pPr>
      <w:r w:rsidRPr="00404DB5">
        <w:rPr>
          <w:rFonts w:ascii="Times New Roman" w:hAnsi="Times New Roman" w:cs="Times New Roman"/>
          <w:b/>
          <w:sz w:val="20"/>
          <w:szCs w:val="20"/>
          <w:u w:val="single"/>
        </w:rPr>
        <w:t>Interruption requirements for PUCCH SCell activation in invalide TA case</w:t>
      </w:r>
    </w:p>
    <w:p w:rsidR="00404DB5" w:rsidRDefault="00101238" w:rsidP="00460F71">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legacy SCell activation/deactivation requirement, the interruption requirements at SCell activation/deactivation due to RF retuning and/or AGC tuning are specified. And we think the ex</w:t>
      </w:r>
      <w:r w:rsidR="00836B6A">
        <w:rPr>
          <w:rFonts w:ascii="Times New Roman" w:hAnsi="Times New Roman" w:cs="Times New Roman"/>
          <w:sz w:val="20"/>
          <w:szCs w:val="20"/>
        </w:rPr>
        <w:t>isting interruption requirement for SCell activation/deactivation can be applied to PUCCH SCell activation/deactivation</w:t>
      </w:r>
      <w:r w:rsidR="00F041C4">
        <w:rPr>
          <w:rFonts w:ascii="Times New Roman" w:hAnsi="Times New Roman" w:cs="Times New Roman"/>
          <w:sz w:val="20"/>
          <w:szCs w:val="20"/>
        </w:rPr>
        <w:t xml:space="preserve"> for both valid and invalid cases</w:t>
      </w:r>
      <w:r w:rsidR="00836B6A">
        <w:rPr>
          <w:rFonts w:ascii="Times New Roman" w:hAnsi="Times New Roman" w:cs="Times New Roman"/>
          <w:sz w:val="20"/>
          <w:szCs w:val="20"/>
        </w:rPr>
        <w:t>.</w:t>
      </w:r>
    </w:p>
    <w:p w:rsidR="00836B6A" w:rsidRDefault="00836B6A" w:rsidP="00460F71">
      <w:pPr>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owever in invalid TA case, when the target PUCCH SCell PRACH has different SCS from the SpCell data/control and if UE does not support the capability of “</w:t>
      </w:r>
      <w:r w:rsidRPr="00836B6A">
        <w:rPr>
          <w:rFonts w:ascii="Times New Roman" w:hAnsi="Times New Roman" w:cs="Times New Roman"/>
          <w:i/>
          <w:sz w:val="20"/>
          <w:szCs w:val="20"/>
        </w:rPr>
        <w:t>diffNumerologyAcrossPUCCH-Group</w:t>
      </w:r>
      <w:r>
        <w:rPr>
          <w:rFonts w:ascii="Times New Roman" w:hAnsi="Times New Roman" w:cs="Times New Roman"/>
          <w:sz w:val="20"/>
          <w:szCs w:val="20"/>
        </w:rPr>
        <w:t>”, the UE does not have the capability to transmit simultaneously two PUCCH, thus the interruption requirement should be introduced.</w:t>
      </w:r>
    </w:p>
    <w:p w:rsidR="00404DB5" w:rsidRDefault="00836B6A" w:rsidP="00460F71">
      <w:pPr>
        <w:rPr>
          <w:rFonts w:ascii="Times New Roman" w:hAnsi="Times New Roman" w:cs="Times New Roman"/>
          <w:sz w:val="20"/>
          <w:szCs w:val="20"/>
        </w:rPr>
      </w:pPr>
      <w:r w:rsidRPr="00836B6A">
        <w:rPr>
          <w:rFonts w:ascii="Times New Roman" w:hAnsi="Times New Roman" w:cs="Times New Roman"/>
          <w:noProof/>
          <w:sz w:val="20"/>
          <w:szCs w:val="20"/>
        </w:rPr>
        <w:drawing>
          <wp:inline distT="0" distB="0" distL="0" distR="0" wp14:anchorId="4207D009" wp14:editId="57445D6E">
            <wp:extent cx="5029458" cy="495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29458" cy="495325"/>
                    </a:xfrm>
                    <a:prstGeom prst="rect">
                      <a:avLst/>
                    </a:prstGeom>
                  </pic:spPr>
                </pic:pic>
              </a:graphicData>
            </a:graphic>
          </wp:inline>
        </w:drawing>
      </w:r>
    </w:p>
    <w:p w:rsidR="00404DB5" w:rsidRPr="00F041C4" w:rsidRDefault="00F041C4" w:rsidP="00F041C4">
      <w:pPr>
        <w:spacing w:after="240"/>
        <w:rPr>
          <w:rFonts w:ascii="Times New Roman" w:hAnsi="Times New Roman" w:cs="Times New Roman"/>
          <w:b/>
          <w:sz w:val="20"/>
          <w:szCs w:val="20"/>
        </w:rPr>
      </w:pPr>
      <w:r w:rsidRPr="00F041C4">
        <w:rPr>
          <w:rFonts w:ascii="Times New Roman" w:hAnsi="Times New Roman" w:cs="Times New Roman" w:hint="eastAsia"/>
          <w:b/>
          <w:sz w:val="20"/>
          <w:szCs w:val="20"/>
        </w:rPr>
        <w:t>P</w:t>
      </w:r>
      <w:r w:rsidRPr="00F041C4">
        <w:rPr>
          <w:rFonts w:ascii="Times New Roman" w:hAnsi="Times New Roman" w:cs="Times New Roman"/>
          <w:b/>
          <w:sz w:val="20"/>
          <w:szCs w:val="20"/>
        </w:rPr>
        <w:t>roposal 4:  The existing interruption requirement for SCell activation/deactivation can be applied to PUCCH SCell activation/deactivation for invalid case.</w:t>
      </w:r>
    </w:p>
    <w:p w:rsidR="00404DB5" w:rsidRPr="00623670" w:rsidRDefault="00F041C4" w:rsidP="00623670">
      <w:pPr>
        <w:spacing w:after="240"/>
        <w:rPr>
          <w:rFonts w:ascii="Times New Roman" w:hAnsi="Times New Roman" w:cs="Times New Roman"/>
          <w:b/>
          <w:sz w:val="20"/>
          <w:szCs w:val="20"/>
        </w:rPr>
      </w:pPr>
      <w:r w:rsidRPr="00623670">
        <w:rPr>
          <w:rFonts w:ascii="Times New Roman" w:hAnsi="Times New Roman" w:cs="Times New Roman"/>
          <w:b/>
          <w:sz w:val="20"/>
          <w:szCs w:val="20"/>
        </w:rPr>
        <w:t xml:space="preserve">Proposal 5: RAN4 introduce additional interruption at PRACH transmission when </w:t>
      </w:r>
      <w:r w:rsidR="00623670" w:rsidRPr="00623670">
        <w:rPr>
          <w:rFonts w:ascii="Times New Roman" w:hAnsi="Times New Roman" w:cs="Times New Roman"/>
          <w:b/>
          <w:sz w:val="20"/>
          <w:szCs w:val="20"/>
        </w:rPr>
        <w:t xml:space="preserve">the target PUCCH SCell </w:t>
      </w:r>
      <w:r w:rsidRPr="00623670">
        <w:rPr>
          <w:rFonts w:ascii="Times New Roman" w:hAnsi="Times New Roman" w:cs="Times New Roman"/>
          <w:b/>
          <w:sz w:val="20"/>
          <w:szCs w:val="20"/>
        </w:rPr>
        <w:t>RACH has different SCS from the SpCell data/control and if UE does not support the capability of “diffNumerologyAcrossPUCCH-Group”</w:t>
      </w:r>
      <w:r w:rsidR="00623670" w:rsidRPr="00623670">
        <w:rPr>
          <w:rFonts w:ascii="Times New Roman" w:hAnsi="Times New Roman" w:cs="Times New Roman"/>
          <w:b/>
          <w:sz w:val="20"/>
          <w:szCs w:val="20"/>
        </w:rPr>
        <w:t>.</w:t>
      </w:r>
    </w:p>
    <w:p w:rsidR="00404DB5" w:rsidRDefault="008858F5" w:rsidP="00460F71">
      <w:pPr>
        <w:rPr>
          <w:rFonts w:ascii="Times New Roman" w:hAnsi="Times New Roman" w:cs="Times New Roman"/>
          <w:sz w:val="20"/>
          <w:szCs w:val="20"/>
        </w:rPr>
      </w:pPr>
      <w:r>
        <w:rPr>
          <w:rFonts w:ascii="Times New Roman" w:hAnsi="Times New Roman" w:cs="Times New Roman"/>
          <w:sz w:val="20"/>
          <w:szCs w:val="20"/>
        </w:rPr>
        <w:t>For the UE supporting of per-FR gap, the interruption on PCell and activated SCell belong to the same frequency range as target PUCCH SCell being activated should be considered, and for the UE not supporting of per-FR gap, the interruption on PCell and activated SCell belong to both FR1 and FR2</w:t>
      </w:r>
      <w:r w:rsidRPr="008858F5">
        <w:rPr>
          <w:rFonts w:ascii="Times New Roman" w:hAnsi="Times New Roman" w:cs="Times New Roman"/>
          <w:sz w:val="20"/>
          <w:szCs w:val="20"/>
        </w:rPr>
        <w:t xml:space="preserve"> </w:t>
      </w:r>
      <w:r>
        <w:rPr>
          <w:rFonts w:ascii="Times New Roman" w:hAnsi="Times New Roman" w:cs="Times New Roman"/>
          <w:sz w:val="20"/>
          <w:szCs w:val="20"/>
        </w:rPr>
        <w:t>should be considered.</w:t>
      </w:r>
    </w:p>
    <w:p w:rsidR="00765858" w:rsidRPr="003753CE" w:rsidRDefault="008858F5" w:rsidP="00460F71">
      <w:pPr>
        <w:rPr>
          <w:rFonts w:ascii="Times New Roman" w:hAnsi="Times New Roman" w:cs="Times New Roman"/>
          <w:b/>
          <w:sz w:val="20"/>
          <w:szCs w:val="20"/>
        </w:rPr>
      </w:pPr>
      <w:r w:rsidRPr="003753CE">
        <w:rPr>
          <w:rFonts w:ascii="Times New Roman" w:hAnsi="Times New Roman" w:cs="Times New Roman"/>
          <w:b/>
          <w:sz w:val="20"/>
          <w:szCs w:val="20"/>
        </w:rPr>
        <w:t xml:space="preserve">Proposal 6: </w:t>
      </w:r>
      <w:r w:rsidR="00765858" w:rsidRPr="003753CE">
        <w:rPr>
          <w:rFonts w:ascii="Times New Roman" w:hAnsi="Times New Roman" w:cs="Times New Roman"/>
          <w:b/>
          <w:sz w:val="20"/>
          <w:szCs w:val="20"/>
        </w:rPr>
        <w:t>The interruption requirements for PUCCH SCell activation shall be applied provided that:</w:t>
      </w:r>
    </w:p>
    <w:p w:rsidR="00765858" w:rsidRPr="003753CE" w:rsidRDefault="00765858" w:rsidP="00765858">
      <w:pPr>
        <w:pStyle w:val="a7"/>
        <w:numPr>
          <w:ilvl w:val="0"/>
          <w:numId w:val="17"/>
        </w:numPr>
        <w:rPr>
          <w:b/>
          <w:sz w:val="20"/>
          <w:szCs w:val="20"/>
        </w:rPr>
      </w:pPr>
      <w:r w:rsidRPr="003753CE">
        <w:rPr>
          <w:b/>
          <w:sz w:val="20"/>
          <w:szCs w:val="20"/>
        </w:rPr>
        <w:t xml:space="preserve">If UE supports per-FR MG, interruption occurs on PCell and activated SCell(s) </w:t>
      </w:r>
      <w:r w:rsidR="003753CE" w:rsidRPr="003753CE">
        <w:rPr>
          <w:b/>
          <w:sz w:val="20"/>
          <w:szCs w:val="20"/>
        </w:rPr>
        <w:t>in</w:t>
      </w:r>
      <w:r w:rsidRPr="003753CE">
        <w:rPr>
          <w:b/>
          <w:sz w:val="20"/>
          <w:szCs w:val="20"/>
        </w:rPr>
        <w:t xml:space="preserve"> the same FR as the target PUCCH SCell being activated during the SCell activation procedure, and</w:t>
      </w:r>
    </w:p>
    <w:p w:rsidR="00765858" w:rsidRPr="003753CE" w:rsidRDefault="00765858" w:rsidP="00460F71">
      <w:pPr>
        <w:pStyle w:val="a7"/>
        <w:numPr>
          <w:ilvl w:val="0"/>
          <w:numId w:val="17"/>
        </w:numPr>
        <w:rPr>
          <w:b/>
          <w:sz w:val="20"/>
          <w:szCs w:val="20"/>
        </w:rPr>
      </w:pPr>
      <w:r w:rsidRPr="003753CE">
        <w:rPr>
          <w:b/>
          <w:sz w:val="20"/>
          <w:szCs w:val="20"/>
        </w:rPr>
        <w:t xml:space="preserve">If UE does not support per-FR MG, interruption occurs on PCell and activated SCell(s) in both FR1 and FR2 </w:t>
      </w:r>
      <w:r w:rsidR="003753CE" w:rsidRPr="003753CE">
        <w:rPr>
          <w:b/>
          <w:sz w:val="20"/>
          <w:szCs w:val="20"/>
        </w:rPr>
        <w:t>during the SCell activation procedure.</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In this contribution, we discussed the delay requirements for PUCCH SCell activation and deactivation and provide our proposals.</w:t>
      </w:r>
    </w:p>
    <w:p w:rsidR="00801DF1" w:rsidRDefault="00801DF1" w:rsidP="00801DF1">
      <w:pPr>
        <w:spacing w:after="240"/>
        <w:rPr>
          <w:rFonts w:ascii="Times New Roman" w:hAnsi="Times New Roman" w:cs="Times New Roman"/>
          <w:b/>
          <w:sz w:val="20"/>
          <w:szCs w:val="20"/>
        </w:rPr>
      </w:pPr>
      <w:r w:rsidRPr="00B06F54">
        <w:rPr>
          <w:rFonts w:ascii="Times New Roman" w:hAnsi="Times New Roman" w:cs="Times New Roman"/>
          <w:b/>
          <w:sz w:val="20"/>
          <w:szCs w:val="20"/>
        </w:rPr>
        <w:t>Proposal 1: The periodic and semi-persistent CSI reporting are supported for PUCCH SCell activation.</w:t>
      </w:r>
    </w:p>
    <w:p w:rsidR="00801DF1" w:rsidRPr="00650188" w:rsidRDefault="00801DF1" w:rsidP="00801DF1">
      <w:pPr>
        <w:rPr>
          <w:rFonts w:ascii="Times New Roman" w:hAnsi="Times New Roman" w:cs="Times New Roman"/>
          <w:b/>
          <w:sz w:val="20"/>
          <w:szCs w:val="20"/>
        </w:rPr>
      </w:pPr>
      <w:r w:rsidRPr="00650188">
        <w:rPr>
          <w:rFonts w:ascii="Times New Roman" w:hAnsi="Times New Roman" w:cs="Times New Roman"/>
          <w:b/>
          <w:sz w:val="20"/>
          <w:szCs w:val="20"/>
        </w:rPr>
        <w:t>Proposal 2: For PUCCH SCell activation, there is no need to report L1-RSRP measurement of PUCCH SCell for TCI determination for the following cases:</w:t>
      </w:r>
    </w:p>
    <w:p w:rsidR="00801DF1" w:rsidRPr="00650188" w:rsidRDefault="00801DF1" w:rsidP="00801DF1">
      <w:pPr>
        <w:pStyle w:val="a7"/>
        <w:numPr>
          <w:ilvl w:val="0"/>
          <w:numId w:val="16"/>
        </w:numPr>
        <w:spacing w:after="240"/>
        <w:rPr>
          <w:rFonts w:eastAsiaTheme="minorEastAsia"/>
          <w:b/>
          <w:kern w:val="2"/>
          <w:sz w:val="20"/>
          <w:szCs w:val="20"/>
          <w:lang w:eastAsia="zh-CN"/>
        </w:rPr>
      </w:pPr>
      <w:r w:rsidRPr="00650188">
        <w:rPr>
          <w:rFonts w:eastAsiaTheme="minorEastAsia" w:hint="eastAsia"/>
          <w:b/>
          <w:kern w:val="2"/>
          <w:sz w:val="20"/>
          <w:szCs w:val="20"/>
          <w:lang w:eastAsia="zh-CN"/>
        </w:rPr>
        <w:lastRenderedPageBreak/>
        <w:t>C</w:t>
      </w:r>
      <w:r w:rsidRPr="00650188">
        <w:rPr>
          <w:rFonts w:eastAsiaTheme="minorEastAsia"/>
          <w:b/>
          <w:kern w:val="2"/>
          <w:sz w:val="20"/>
          <w:szCs w:val="20"/>
          <w:lang w:eastAsia="zh-CN"/>
        </w:rPr>
        <w:t>ase 1: the target SCell is unknown and belongs to FR1, and the SCell is contiguous to an active serving cell in the same band;</w:t>
      </w:r>
    </w:p>
    <w:p w:rsidR="00801DF1" w:rsidRPr="00650188" w:rsidRDefault="00801DF1" w:rsidP="00801DF1">
      <w:pPr>
        <w:pStyle w:val="a7"/>
        <w:numPr>
          <w:ilvl w:val="0"/>
          <w:numId w:val="16"/>
        </w:numPr>
        <w:rPr>
          <w:rFonts w:eastAsiaTheme="minorEastAsia"/>
          <w:b/>
          <w:kern w:val="2"/>
          <w:sz w:val="20"/>
          <w:szCs w:val="20"/>
          <w:lang w:eastAsia="zh-CN"/>
        </w:rPr>
      </w:pPr>
      <w:r w:rsidRPr="00650188">
        <w:rPr>
          <w:rFonts w:eastAsiaTheme="minorEastAsia"/>
          <w:b/>
          <w:kern w:val="2"/>
          <w:sz w:val="20"/>
          <w:szCs w:val="20"/>
          <w:lang w:eastAsia="zh-CN"/>
        </w:rPr>
        <w:t>Case 2: the target SCell is unknown and belongs to FR</w:t>
      </w:r>
      <w:r>
        <w:rPr>
          <w:rFonts w:eastAsiaTheme="minorEastAsia"/>
          <w:b/>
          <w:kern w:val="2"/>
          <w:sz w:val="20"/>
          <w:szCs w:val="20"/>
          <w:lang w:eastAsia="zh-CN"/>
        </w:rPr>
        <w:t>2</w:t>
      </w:r>
      <w:r w:rsidRPr="00650188">
        <w:rPr>
          <w:rFonts w:eastAsiaTheme="minorEastAsia"/>
          <w:b/>
          <w:kern w:val="2"/>
          <w:sz w:val="20"/>
          <w:szCs w:val="20"/>
          <w:lang w:eastAsia="zh-CN"/>
        </w:rPr>
        <w:t>, and there is at least one active serving cell on that FR2 band</w:t>
      </w:r>
    </w:p>
    <w:p w:rsidR="00801DF1" w:rsidRPr="00404DB5" w:rsidRDefault="00801DF1" w:rsidP="00801DF1">
      <w:pPr>
        <w:spacing w:after="240"/>
        <w:rPr>
          <w:rFonts w:ascii="Times New Roman" w:hAnsi="Times New Roman" w:cs="Times New Roman"/>
          <w:b/>
          <w:sz w:val="20"/>
          <w:szCs w:val="20"/>
        </w:rPr>
      </w:pPr>
      <w:r w:rsidRPr="00650188">
        <w:rPr>
          <w:rFonts w:ascii="Times New Roman" w:hAnsi="Times New Roman" w:cs="Times New Roman"/>
          <w:b/>
          <w:sz w:val="20"/>
          <w:szCs w:val="20"/>
        </w:rPr>
        <w:t>For other cases, the L1-RSRP measurement reporting of PUCCH SCell for TCI determination is needed.</w:t>
      </w:r>
    </w:p>
    <w:p w:rsidR="00801DF1" w:rsidRPr="00D851E7" w:rsidRDefault="00801DF1" w:rsidP="00801DF1">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3</w:t>
      </w:r>
      <w:r w:rsidRPr="00D851E7">
        <w:rPr>
          <w:rFonts w:ascii="Times New Roman" w:hAnsi="Times New Roman" w:cs="Times New Roman"/>
          <w:b/>
          <w:sz w:val="20"/>
          <w:szCs w:val="20"/>
        </w:rPr>
        <w:t>: If UE does not have the valid TA on the PUCCH SCell being activated, an additional UL synchronization procedure to obtain the valid TA shall be considered which including the following factors:</w:t>
      </w:r>
    </w:p>
    <w:p w:rsidR="00801DF1" w:rsidRPr="00D851E7" w:rsidRDefault="00801DF1" w:rsidP="00801DF1">
      <w:pPr>
        <w:pStyle w:val="a7"/>
        <w:numPr>
          <w:ilvl w:val="0"/>
          <w:numId w:val="18"/>
        </w:numPr>
        <w:rPr>
          <w:rFonts w:eastAsiaTheme="minorEastAsia"/>
          <w:b/>
          <w:kern w:val="2"/>
          <w:sz w:val="20"/>
          <w:szCs w:val="20"/>
          <w:lang w:eastAsia="zh-CN"/>
        </w:rPr>
      </w:pPr>
      <w:r w:rsidRPr="00D851E7">
        <w:rPr>
          <w:rFonts w:eastAsiaTheme="minorEastAsia"/>
          <w:b/>
          <w:kern w:val="2"/>
          <w:sz w:val="20"/>
          <w:szCs w:val="20"/>
          <w:lang w:eastAsia="zh-CN"/>
        </w:rPr>
        <w:t>the delay uncertainty in acquiring the first available PRACH occasion in the PUCCH SCell</w:t>
      </w:r>
      <w:r>
        <w:rPr>
          <w:rFonts w:eastAsiaTheme="minorEastAsia"/>
          <w:b/>
          <w:kern w:val="2"/>
          <w:sz w:val="20"/>
          <w:szCs w:val="20"/>
          <w:lang w:eastAsia="zh-CN"/>
        </w:rPr>
        <w:t xml:space="preserve"> (T1)</w:t>
      </w:r>
      <w:r w:rsidRPr="00D851E7">
        <w:rPr>
          <w:rFonts w:eastAsiaTheme="minorEastAsia"/>
          <w:b/>
          <w:kern w:val="2"/>
          <w:sz w:val="20"/>
          <w:szCs w:val="20"/>
          <w:lang w:eastAsia="zh-CN"/>
        </w:rPr>
        <w:t>;</w:t>
      </w:r>
    </w:p>
    <w:p w:rsidR="00801DF1" w:rsidRPr="00D851E7" w:rsidRDefault="00801DF1" w:rsidP="00801DF1">
      <w:pPr>
        <w:pStyle w:val="a7"/>
        <w:numPr>
          <w:ilvl w:val="0"/>
          <w:numId w:val="18"/>
        </w:numPr>
        <w:rPr>
          <w:rFonts w:eastAsiaTheme="minorEastAsia"/>
          <w:b/>
          <w:kern w:val="2"/>
          <w:sz w:val="20"/>
          <w:szCs w:val="20"/>
          <w:lang w:eastAsia="zh-CN"/>
        </w:rPr>
      </w:pPr>
      <w:r w:rsidRPr="00D851E7">
        <w:rPr>
          <w:rFonts w:eastAsiaTheme="minorEastAsia"/>
          <w:b/>
          <w:kern w:val="2"/>
          <w:sz w:val="20"/>
          <w:szCs w:val="20"/>
          <w:lang w:eastAsia="zh-CN"/>
        </w:rPr>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Pr>
          <w:rFonts w:eastAsiaTheme="minorEastAsia"/>
          <w:b/>
          <w:kern w:val="2"/>
          <w:sz w:val="20"/>
          <w:szCs w:val="20"/>
          <w:lang w:eastAsia="zh-CN"/>
        </w:rPr>
        <w:t xml:space="preserve"> (T2)</w:t>
      </w:r>
      <w:r w:rsidRPr="00D851E7">
        <w:rPr>
          <w:rFonts w:eastAsiaTheme="minorEastAsia"/>
          <w:b/>
          <w:kern w:val="2"/>
          <w:sz w:val="20"/>
          <w:szCs w:val="20"/>
          <w:lang w:eastAsia="zh-CN"/>
        </w:rPr>
        <w:t>;</w:t>
      </w:r>
    </w:p>
    <w:p w:rsidR="00801DF1" w:rsidRDefault="00801DF1" w:rsidP="00801DF1">
      <w:pPr>
        <w:pStyle w:val="a7"/>
        <w:numPr>
          <w:ilvl w:val="0"/>
          <w:numId w:val="18"/>
        </w:numPr>
        <w:rPr>
          <w:rFonts w:eastAsiaTheme="minorEastAsia"/>
          <w:b/>
          <w:kern w:val="2"/>
          <w:sz w:val="20"/>
          <w:szCs w:val="20"/>
          <w:lang w:eastAsia="zh-CN"/>
        </w:rPr>
      </w:pPr>
      <w:r w:rsidRPr="00D851E7">
        <w:rPr>
          <w:rFonts w:eastAsiaTheme="minorEastAsia"/>
          <w:b/>
          <w:kern w:val="2"/>
          <w:sz w:val="20"/>
          <w:szCs w:val="20"/>
          <w:lang w:eastAsia="zh-CN"/>
        </w:rPr>
        <w:t>the delay for app</w:t>
      </w:r>
      <w:r>
        <w:rPr>
          <w:rFonts w:eastAsiaTheme="minorEastAsia"/>
          <w:b/>
          <w:kern w:val="2"/>
          <w:sz w:val="20"/>
          <w:szCs w:val="20"/>
          <w:lang w:eastAsia="zh-CN"/>
        </w:rPr>
        <w:t>lying the received TA for uplin</w:t>
      </w:r>
      <w:r>
        <w:rPr>
          <w:rFonts w:eastAsiaTheme="minorEastAsia" w:hint="eastAsia"/>
          <w:b/>
          <w:kern w:val="2"/>
          <w:sz w:val="20"/>
          <w:szCs w:val="20"/>
          <w:lang w:eastAsia="zh-CN"/>
        </w:rPr>
        <w:t>k</w:t>
      </w:r>
      <w:r w:rsidRPr="00D851E7">
        <w:rPr>
          <w:rFonts w:eastAsiaTheme="minorEastAsia"/>
          <w:b/>
          <w:kern w:val="2"/>
          <w:sz w:val="20"/>
          <w:szCs w:val="20"/>
          <w:lang w:eastAsia="zh-CN"/>
        </w:rPr>
        <w:t xml:space="preserve"> transmission</w:t>
      </w:r>
      <w:r>
        <w:rPr>
          <w:rFonts w:eastAsiaTheme="minorEastAsia"/>
          <w:b/>
          <w:kern w:val="2"/>
          <w:sz w:val="20"/>
          <w:szCs w:val="20"/>
          <w:lang w:eastAsia="zh-CN"/>
        </w:rPr>
        <w:t xml:space="preserve"> (T3).</w:t>
      </w:r>
    </w:p>
    <w:p w:rsidR="00801DF1" w:rsidRPr="00460F71" w:rsidRDefault="00801DF1" w:rsidP="00801DF1">
      <w:pPr>
        <w:rPr>
          <w:rFonts w:ascii="Times New Roman" w:hAnsi="Times New Roman" w:cs="Times New Roman"/>
          <w:b/>
          <w:sz w:val="20"/>
          <w:szCs w:val="20"/>
        </w:rPr>
      </w:pPr>
      <w:r w:rsidRPr="00460F71">
        <w:rPr>
          <w:rFonts w:ascii="Times New Roman" w:hAnsi="Times New Roman" w:cs="Times New Roman" w:hint="eastAsia"/>
          <w:b/>
          <w:sz w:val="20"/>
          <w:szCs w:val="20"/>
        </w:rPr>
        <w:t>W</w:t>
      </w:r>
      <w:r w:rsidRPr="00460F71">
        <w:rPr>
          <w:rFonts w:ascii="Times New Roman" w:hAnsi="Times New Roman" w:cs="Times New Roman"/>
          <w:b/>
          <w:sz w:val="20"/>
          <w:szCs w:val="20"/>
        </w:rPr>
        <w:t>here:</w:t>
      </w:r>
    </w:p>
    <w:p w:rsidR="00801DF1" w:rsidRPr="00460F71" w:rsidRDefault="00801DF1" w:rsidP="00801DF1">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T1 is up to the summation of SSB to PRACH occasion association period and 10 ms. SSB to PRACH occasion associated period is defined in the table 8.1-1 of TS 38.213;</w:t>
      </w:r>
    </w:p>
    <w:p w:rsidR="00801DF1" w:rsidRPr="00460F71" w:rsidRDefault="00801DF1" w:rsidP="00801DF1">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T2 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p>
    <w:p w:rsidR="00801DF1" w:rsidRPr="00460F71" w:rsidRDefault="00801DF1" w:rsidP="00801DF1">
      <w:pPr>
        <w:pStyle w:val="a7"/>
        <w:numPr>
          <w:ilvl w:val="0"/>
          <w:numId w:val="13"/>
        </w:numPr>
        <w:spacing w:after="240"/>
        <w:rPr>
          <w:rFonts w:eastAsiaTheme="minorEastAsia"/>
          <w:b/>
          <w:kern w:val="2"/>
          <w:sz w:val="20"/>
          <w:szCs w:val="20"/>
          <w:lang w:eastAsia="zh-CN"/>
        </w:rPr>
      </w:pPr>
      <w:r w:rsidRPr="00460F71">
        <w:rPr>
          <w:rFonts w:eastAsiaTheme="minorEastAsia"/>
          <w:b/>
          <w:kern w:val="2"/>
          <w:sz w:val="20"/>
          <w:szCs w:val="20"/>
          <w:lang w:eastAsia="zh-CN"/>
        </w:rPr>
        <w:t>T3 is the delay for applying the received TA for uplink transmission on target PUCCH SCell being activated, and greater than or equal to k+1 slot, where k is defined in clause 4.2 in TS 38.213.</w:t>
      </w:r>
    </w:p>
    <w:p w:rsidR="00801DF1" w:rsidRPr="00801DF1" w:rsidRDefault="00801DF1" w:rsidP="00801DF1">
      <w:pPr>
        <w:spacing w:after="240"/>
        <w:rPr>
          <w:rFonts w:ascii="Times New Roman" w:hAnsi="Times New Roman" w:cs="Times New Roman"/>
          <w:b/>
          <w:sz w:val="20"/>
          <w:szCs w:val="20"/>
        </w:rPr>
      </w:pPr>
      <w:r w:rsidRPr="00801DF1">
        <w:rPr>
          <w:rFonts w:ascii="Times New Roman" w:hAnsi="Times New Roman" w:cs="Times New Roman" w:hint="eastAsia"/>
          <w:b/>
          <w:sz w:val="20"/>
          <w:szCs w:val="20"/>
        </w:rPr>
        <w:t>P</w:t>
      </w:r>
      <w:r w:rsidRPr="00801DF1">
        <w:rPr>
          <w:rFonts w:ascii="Times New Roman" w:hAnsi="Times New Roman" w:cs="Times New Roman"/>
          <w:b/>
          <w:sz w:val="20"/>
          <w:szCs w:val="20"/>
        </w:rPr>
        <w:t>roposal 4:  The existing interruption requirement for SCell activation/deactivation can be applied to PUCCH SCell activation/deactivation for invalid case.</w:t>
      </w:r>
    </w:p>
    <w:p w:rsidR="00801DF1" w:rsidRPr="00801DF1" w:rsidRDefault="00801DF1" w:rsidP="00801DF1">
      <w:pPr>
        <w:spacing w:after="240"/>
        <w:rPr>
          <w:rFonts w:ascii="Times New Roman" w:hAnsi="Times New Roman" w:cs="Times New Roman"/>
          <w:b/>
          <w:sz w:val="20"/>
          <w:szCs w:val="20"/>
        </w:rPr>
      </w:pPr>
      <w:r w:rsidRPr="00801DF1">
        <w:rPr>
          <w:rFonts w:ascii="Times New Roman" w:hAnsi="Times New Roman" w:cs="Times New Roman"/>
          <w:b/>
          <w:sz w:val="20"/>
          <w:szCs w:val="20"/>
        </w:rPr>
        <w:t>Proposal 5: RAN4 introduce additional interruption at PRACH transmission when the target PUCCH SCell RACH has different SCS from the SpCell data/control and if UE does not support the capability of “</w:t>
      </w:r>
      <w:r w:rsidRPr="00801DF1">
        <w:rPr>
          <w:rFonts w:ascii="Times New Roman" w:hAnsi="Times New Roman" w:cs="Times New Roman"/>
          <w:b/>
          <w:i/>
          <w:sz w:val="20"/>
          <w:szCs w:val="20"/>
        </w:rPr>
        <w:t>diffNumerologyAcrossPUCCH-Group</w:t>
      </w:r>
      <w:r w:rsidRPr="00801DF1">
        <w:rPr>
          <w:rFonts w:ascii="Times New Roman" w:hAnsi="Times New Roman" w:cs="Times New Roman"/>
          <w:b/>
          <w:sz w:val="20"/>
          <w:szCs w:val="20"/>
        </w:rPr>
        <w:t>”.</w:t>
      </w:r>
    </w:p>
    <w:p w:rsidR="00801DF1" w:rsidRPr="003753CE" w:rsidRDefault="00801DF1" w:rsidP="00801DF1">
      <w:pPr>
        <w:rPr>
          <w:rFonts w:ascii="Times New Roman" w:hAnsi="Times New Roman" w:cs="Times New Roman"/>
          <w:b/>
          <w:sz w:val="20"/>
          <w:szCs w:val="20"/>
        </w:rPr>
      </w:pPr>
      <w:r w:rsidRPr="003753CE">
        <w:rPr>
          <w:rFonts w:ascii="Times New Roman" w:hAnsi="Times New Roman" w:cs="Times New Roman"/>
          <w:b/>
          <w:sz w:val="20"/>
          <w:szCs w:val="20"/>
        </w:rPr>
        <w:t>Proposal 6: The interruption requirements for PUCCH SCell activation shall be applied provided that:</w:t>
      </w:r>
    </w:p>
    <w:p w:rsidR="00801DF1" w:rsidRPr="003753CE" w:rsidRDefault="00801DF1" w:rsidP="00801DF1">
      <w:pPr>
        <w:pStyle w:val="a7"/>
        <w:numPr>
          <w:ilvl w:val="0"/>
          <w:numId w:val="17"/>
        </w:numPr>
        <w:rPr>
          <w:b/>
          <w:sz w:val="20"/>
          <w:szCs w:val="20"/>
        </w:rPr>
      </w:pPr>
      <w:r w:rsidRPr="003753CE">
        <w:rPr>
          <w:b/>
          <w:sz w:val="20"/>
          <w:szCs w:val="20"/>
        </w:rPr>
        <w:t>If UE supports per-FR MG, interruption occurs on PCell and activated SCell(s) in the same FR as the target PUCCH SCell being activated during the SCell activation procedure, and</w:t>
      </w:r>
    </w:p>
    <w:p w:rsidR="00801DF1" w:rsidRPr="00801DF1" w:rsidRDefault="00801DF1" w:rsidP="00801DF1">
      <w:pPr>
        <w:pStyle w:val="a7"/>
        <w:numPr>
          <w:ilvl w:val="0"/>
          <w:numId w:val="17"/>
        </w:numPr>
        <w:rPr>
          <w:b/>
          <w:sz w:val="20"/>
          <w:szCs w:val="20"/>
        </w:rPr>
      </w:pPr>
      <w:r w:rsidRPr="003753CE">
        <w:rPr>
          <w:b/>
          <w:sz w:val="20"/>
          <w:szCs w:val="20"/>
        </w:rPr>
        <w:t>If UE does not support per-FR MG, interruption occurs on PCell and activated SCell(s) in both FR1 and FR2 during the SCell activation procedure.</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B36367">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6F000C">
        <w:rPr>
          <w:rFonts w:ascii="Times New Roman" w:hAnsi="Times New Roman" w:cs="Times New Roman"/>
          <w:sz w:val="20"/>
          <w:szCs w:val="20"/>
        </w:rPr>
        <w:t>1]</w:t>
      </w:r>
      <w:r w:rsidR="006F000C">
        <w:rPr>
          <w:rFonts w:ascii="Times New Roman" w:hAnsi="Times New Roman" w:cs="Times New Roman"/>
          <w:sz w:val="20"/>
          <w:szCs w:val="20"/>
        </w:rPr>
        <w:tab/>
        <w:t>R4</w:t>
      </w:r>
      <w:r>
        <w:rPr>
          <w:rFonts w:ascii="Times New Roman" w:hAnsi="Times New Roman" w:cs="Times New Roman"/>
          <w:sz w:val="20"/>
          <w:szCs w:val="20"/>
        </w:rPr>
        <w:t>-2</w:t>
      </w:r>
      <w:r w:rsidR="006F000C">
        <w:rPr>
          <w:rFonts w:ascii="Times New Roman" w:hAnsi="Times New Roman" w:cs="Times New Roman"/>
          <w:sz w:val="20"/>
          <w:szCs w:val="20"/>
        </w:rPr>
        <w:t>1</w:t>
      </w:r>
      <w:r w:rsidR="00801DF1">
        <w:rPr>
          <w:rFonts w:ascii="Times New Roman" w:hAnsi="Times New Roman" w:cs="Times New Roman"/>
          <w:sz w:val="20"/>
          <w:szCs w:val="20"/>
        </w:rPr>
        <w:t>15338</w:t>
      </w:r>
      <w:r>
        <w:rPr>
          <w:rFonts w:ascii="Times New Roman" w:hAnsi="Times New Roman" w:cs="Times New Roman"/>
          <w:sz w:val="20"/>
          <w:szCs w:val="20"/>
        </w:rPr>
        <w:tab/>
      </w:r>
      <w:r w:rsidR="00B36367" w:rsidRPr="00B36367">
        <w:rPr>
          <w:rFonts w:ascii="Times New Roman" w:hAnsi="Times New Roman" w:cs="Times New Roman"/>
          <w:sz w:val="20"/>
          <w:szCs w:val="20"/>
        </w:rPr>
        <w:t>WF on further RRM enhancement for NR and MR-DC - PUCCH SCell activation/deactivation requirements</w:t>
      </w:r>
      <w:r w:rsidR="00B36367">
        <w:rPr>
          <w:rFonts w:ascii="Times New Roman" w:hAnsi="Times New Roman" w:cs="Times New Roman"/>
          <w:sz w:val="20"/>
          <w:szCs w:val="20"/>
        </w:rPr>
        <w:t>,</w:t>
      </w:r>
      <w:r w:rsidR="00B36367">
        <w:rPr>
          <w:rFonts w:ascii="Times New Roman" w:hAnsi="Times New Roman" w:cs="Times New Roman"/>
          <w:sz w:val="20"/>
          <w:szCs w:val="20"/>
        </w:rPr>
        <w:tab/>
      </w:r>
      <w:r w:rsidR="00DB1E7D">
        <w:rPr>
          <w:rFonts w:ascii="Times New Roman" w:hAnsi="Times New Roman" w:cs="Times New Roman"/>
          <w:sz w:val="20"/>
          <w:szCs w:val="20"/>
        </w:rPr>
        <w:t>CATT</w:t>
      </w:r>
    </w:p>
    <w:p w:rsidR="00801DF1" w:rsidRPr="00801DF1" w:rsidRDefault="00801DF1" w:rsidP="00801DF1">
      <w:pPr>
        <w:ind w:left="420" w:hanging="420"/>
        <w:rPr>
          <w:rFonts w:ascii="Times New Roman" w:hAnsi="Times New Roman" w:cs="Times New Roman"/>
          <w:sz w:val="20"/>
          <w:szCs w:val="20"/>
        </w:rPr>
      </w:pPr>
      <w:r>
        <w:rPr>
          <w:rFonts w:ascii="Times New Roman" w:hAnsi="Times New Roman" w:cs="Times New Roman" w:hint="eastAsia"/>
          <w:sz w:val="20"/>
          <w:szCs w:val="20"/>
        </w:rPr>
        <w:lastRenderedPageBreak/>
        <w:t>[</w:t>
      </w:r>
      <w:r>
        <w:rPr>
          <w:rFonts w:ascii="Times New Roman" w:hAnsi="Times New Roman" w:cs="Times New Roman"/>
          <w:sz w:val="20"/>
          <w:szCs w:val="20"/>
        </w:rPr>
        <w:t>2]</w:t>
      </w:r>
      <w:r>
        <w:rPr>
          <w:rFonts w:ascii="Times New Roman" w:hAnsi="Times New Roman" w:cs="Times New Roman"/>
          <w:sz w:val="20"/>
          <w:szCs w:val="20"/>
        </w:rPr>
        <w:tab/>
        <w:t>R4-2108398</w:t>
      </w:r>
      <w:r>
        <w:rPr>
          <w:rFonts w:ascii="Times New Roman" w:hAnsi="Times New Roman" w:cs="Times New Roman"/>
          <w:sz w:val="20"/>
          <w:szCs w:val="20"/>
        </w:rPr>
        <w:tab/>
      </w:r>
      <w:r w:rsidRPr="000C0C0B">
        <w:rPr>
          <w:rFonts w:ascii="Times New Roman" w:hAnsi="Times New Roman" w:cs="Times New Roman" w:hint="eastAsia"/>
          <w:sz w:val="20"/>
          <w:szCs w:val="20"/>
        </w:rPr>
        <w:t xml:space="preserve">Email discussion summary for </w:t>
      </w:r>
      <w:r w:rsidRPr="000C0C0B">
        <w:rPr>
          <w:rFonts w:ascii="Times New Roman" w:hAnsi="Times New Roman" w:cs="Times New Roman"/>
          <w:sz w:val="20"/>
          <w:szCs w:val="20"/>
        </w:rPr>
        <w:t>[9</w:t>
      </w:r>
      <w:r w:rsidRPr="000C0C0B">
        <w:rPr>
          <w:rFonts w:ascii="Times New Roman" w:hAnsi="Times New Roman" w:cs="Times New Roman" w:hint="eastAsia"/>
          <w:sz w:val="20"/>
          <w:szCs w:val="20"/>
        </w:rPr>
        <w:t>9</w:t>
      </w:r>
      <w:r w:rsidRPr="000C0C0B">
        <w:rPr>
          <w:rFonts w:ascii="Times New Roman" w:hAnsi="Times New Roman" w:cs="Times New Roman"/>
          <w:sz w:val="20"/>
          <w:szCs w:val="20"/>
        </w:rPr>
        <w:t>-e][2</w:t>
      </w:r>
      <w:r w:rsidRPr="000C0C0B">
        <w:rPr>
          <w:rFonts w:ascii="Times New Roman" w:hAnsi="Times New Roman" w:cs="Times New Roman" w:hint="eastAsia"/>
          <w:sz w:val="20"/>
          <w:szCs w:val="20"/>
        </w:rPr>
        <w:t>26</w:t>
      </w:r>
      <w:r w:rsidRPr="000C0C0B">
        <w:rPr>
          <w:rFonts w:ascii="Times New Roman" w:hAnsi="Times New Roman" w:cs="Times New Roman"/>
          <w:sz w:val="20"/>
          <w:szCs w:val="20"/>
        </w:rPr>
        <w:t>] NR_RRM_enh2_</w:t>
      </w:r>
      <w:r w:rsidRPr="000C0C0B">
        <w:rPr>
          <w:rFonts w:ascii="Times New Roman" w:hAnsi="Times New Roman" w:cs="Times New Roman" w:hint="eastAsia"/>
          <w:sz w:val="20"/>
          <w:szCs w:val="20"/>
        </w:rPr>
        <w:t>3</w:t>
      </w: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b/>
        <w:t>CATT</w:t>
      </w:r>
    </w:p>
    <w:p w:rsidR="000C0C0B" w:rsidRDefault="000C0C0B" w:rsidP="00B7345F">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801DF1">
        <w:rPr>
          <w:rFonts w:ascii="Times New Roman" w:hAnsi="Times New Roman" w:cs="Times New Roman"/>
          <w:sz w:val="20"/>
          <w:szCs w:val="20"/>
        </w:rPr>
        <w:t>3]</w:t>
      </w:r>
      <w:r w:rsidR="00801DF1">
        <w:rPr>
          <w:rFonts w:ascii="Times New Roman" w:hAnsi="Times New Roman" w:cs="Times New Roman"/>
          <w:sz w:val="20"/>
          <w:szCs w:val="20"/>
        </w:rPr>
        <w:tab/>
        <w:t>R4-2115397</w:t>
      </w:r>
      <w:r>
        <w:rPr>
          <w:rFonts w:ascii="Times New Roman" w:hAnsi="Times New Roman" w:cs="Times New Roman"/>
          <w:sz w:val="20"/>
          <w:szCs w:val="20"/>
        </w:rPr>
        <w:tab/>
      </w:r>
      <w:r w:rsidRPr="000C0C0B">
        <w:rPr>
          <w:rFonts w:ascii="Times New Roman" w:hAnsi="Times New Roman" w:cs="Times New Roman" w:hint="eastAsia"/>
          <w:sz w:val="20"/>
          <w:szCs w:val="20"/>
        </w:rPr>
        <w:t xml:space="preserve">Email discussion summary for </w:t>
      </w:r>
      <w:bookmarkStart w:id="1" w:name="OLE_LINK12"/>
      <w:bookmarkStart w:id="2" w:name="OLE_LINK13"/>
      <w:r w:rsidR="00801DF1">
        <w:rPr>
          <w:rFonts w:ascii="Times New Roman" w:hAnsi="Times New Roman" w:cs="Times New Roman"/>
          <w:sz w:val="20"/>
          <w:szCs w:val="20"/>
        </w:rPr>
        <w:t>[100</w:t>
      </w:r>
      <w:r w:rsidRPr="000C0C0B">
        <w:rPr>
          <w:rFonts w:ascii="Times New Roman" w:hAnsi="Times New Roman" w:cs="Times New Roman"/>
          <w:sz w:val="20"/>
          <w:szCs w:val="20"/>
        </w:rPr>
        <w:t>-e][2</w:t>
      </w:r>
      <w:r w:rsidR="00801DF1">
        <w:rPr>
          <w:rFonts w:ascii="Times New Roman" w:hAnsi="Times New Roman" w:cs="Times New Roman" w:hint="eastAsia"/>
          <w:sz w:val="20"/>
          <w:szCs w:val="20"/>
        </w:rPr>
        <w:t>2</w:t>
      </w:r>
      <w:r w:rsidR="00801DF1">
        <w:rPr>
          <w:rFonts w:ascii="Times New Roman" w:hAnsi="Times New Roman" w:cs="Times New Roman"/>
          <w:sz w:val="20"/>
          <w:szCs w:val="20"/>
        </w:rPr>
        <w:t>2</w:t>
      </w:r>
      <w:r w:rsidRPr="000C0C0B">
        <w:rPr>
          <w:rFonts w:ascii="Times New Roman" w:hAnsi="Times New Roman" w:cs="Times New Roman"/>
          <w:sz w:val="20"/>
          <w:szCs w:val="20"/>
        </w:rPr>
        <w:t>] NR_RRM_enh2_</w:t>
      </w:r>
      <w:bookmarkEnd w:id="1"/>
      <w:bookmarkEnd w:id="2"/>
      <w:r w:rsidRPr="000C0C0B">
        <w:rPr>
          <w:rFonts w:ascii="Times New Roman" w:hAnsi="Times New Roman" w:cs="Times New Roman" w:hint="eastAsia"/>
          <w:sz w:val="20"/>
          <w:szCs w:val="20"/>
        </w:rPr>
        <w:t>3</w:t>
      </w:r>
      <w:r>
        <w:rPr>
          <w:rFonts w:ascii="Times New Roman" w:hAnsi="Times New Roman" w:cs="Times New Roman"/>
          <w:sz w:val="20"/>
          <w:szCs w:val="20"/>
        </w:rPr>
        <w:t>,</w:t>
      </w:r>
      <w:r>
        <w:rPr>
          <w:rFonts w:ascii="Times New Roman" w:hAnsi="Times New Roman" w:cs="Times New Roman"/>
          <w:sz w:val="20"/>
          <w:szCs w:val="20"/>
        </w:rPr>
        <w:tab/>
        <w:t>CATT</w:t>
      </w:r>
    </w:p>
    <w:p w:rsidR="00801DF1" w:rsidRDefault="00801DF1" w:rsidP="00801DF1">
      <w:pP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ab/>
        <w:t>TS36.133</w:t>
      </w:r>
    </w:p>
    <w:p w:rsidR="00801DF1" w:rsidRPr="000C0C0B" w:rsidRDefault="00801DF1" w:rsidP="00B7345F">
      <w:pPr>
        <w:ind w:left="420" w:hanging="420"/>
        <w:rPr>
          <w:rFonts w:ascii="Times New Roman" w:hAnsi="Times New Roman" w:cs="Times New Roman"/>
          <w:sz w:val="20"/>
          <w:szCs w:val="20"/>
        </w:rPr>
      </w:pPr>
    </w:p>
    <w:sectPr w:rsidR="00801DF1" w:rsidRPr="000C0C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31F" w:rsidRDefault="0010131F" w:rsidP="0054389C">
      <w:r>
        <w:separator/>
      </w:r>
    </w:p>
  </w:endnote>
  <w:endnote w:type="continuationSeparator" w:id="0">
    <w:p w:rsidR="0010131F" w:rsidRDefault="0010131F"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31F" w:rsidRDefault="0010131F" w:rsidP="0054389C">
      <w:r>
        <w:separator/>
      </w:r>
    </w:p>
  </w:footnote>
  <w:footnote w:type="continuationSeparator" w:id="0">
    <w:p w:rsidR="0010131F" w:rsidRDefault="0010131F"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AD0BF8"/>
    <w:multiLevelType w:val="hybridMultilevel"/>
    <w:tmpl w:val="B96C1B14"/>
    <w:lvl w:ilvl="0" w:tplc="FFFFFFFF">
      <w:start w:val="1"/>
      <w:numFmt w:val="bullet"/>
      <w:lvlText w:val=""/>
      <w:lvlJc w:val="left"/>
      <w:pPr>
        <w:ind w:left="719" w:hanging="420"/>
      </w:pPr>
      <w:rPr>
        <w:rFonts w:ascii="Symbol" w:hAnsi="Symbol" w:hint="default"/>
      </w:rPr>
    </w:lvl>
    <w:lvl w:ilvl="1" w:tplc="04090003" w:tentative="1">
      <w:start w:val="1"/>
      <w:numFmt w:val="bullet"/>
      <w:lvlText w:val=""/>
      <w:lvlJc w:val="left"/>
      <w:pPr>
        <w:ind w:left="1139" w:hanging="420"/>
      </w:pPr>
      <w:rPr>
        <w:rFonts w:ascii="Wingdings" w:hAnsi="Wingdings" w:hint="default"/>
      </w:rPr>
    </w:lvl>
    <w:lvl w:ilvl="2" w:tplc="04090005" w:tentative="1">
      <w:start w:val="1"/>
      <w:numFmt w:val="bullet"/>
      <w:lvlText w:val=""/>
      <w:lvlJc w:val="left"/>
      <w:pPr>
        <w:ind w:left="1559" w:hanging="420"/>
      </w:pPr>
      <w:rPr>
        <w:rFonts w:ascii="Wingdings" w:hAnsi="Wingdings" w:hint="default"/>
      </w:rPr>
    </w:lvl>
    <w:lvl w:ilvl="3" w:tplc="04090001" w:tentative="1">
      <w:start w:val="1"/>
      <w:numFmt w:val="bullet"/>
      <w:lvlText w:val=""/>
      <w:lvlJc w:val="left"/>
      <w:pPr>
        <w:ind w:left="1979" w:hanging="420"/>
      </w:pPr>
      <w:rPr>
        <w:rFonts w:ascii="Wingdings" w:hAnsi="Wingdings" w:hint="default"/>
      </w:rPr>
    </w:lvl>
    <w:lvl w:ilvl="4" w:tplc="04090003" w:tentative="1">
      <w:start w:val="1"/>
      <w:numFmt w:val="bullet"/>
      <w:lvlText w:val=""/>
      <w:lvlJc w:val="left"/>
      <w:pPr>
        <w:ind w:left="2399" w:hanging="420"/>
      </w:pPr>
      <w:rPr>
        <w:rFonts w:ascii="Wingdings" w:hAnsi="Wingdings" w:hint="default"/>
      </w:rPr>
    </w:lvl>
    <w:lvl w:ilvl="5" w:tplc="04090005" w:tentative="1">
      <w:start w:val="1"/>
      <w:numFmt w:val="bullet"/>
      <w:lvlText w:val=""/>
      <w:lvlJc w:val="left"/>
      <w:pPr>
        <w:ind w:left="2819" w:hanging="420"/>
      </w:pPr>
      <w:rPr>
        <w:rFonts w:ascii="Wingdings" w:hAnsi="Wingdings" w:hint="default"/>
      </w:rPr>
    </w:lvl>
    <w:lvl w:ilvl="6" w:tplc="04090001" w:tentative="1">
      <w:start w:val="1"/>
      <w:numFmt w:val="bullet"/>
      <w:lvlText w:val=""/>
      <w:lvlJc w:val="left"/>
      <w:pPr>
        <w:ind w:left="3239" w:hanging="420"/>
      </w:pPr>
      <w:rPr>
        <w:rFonts w:ascii="Wingdings" w:hAnsi="Wingdings" w:hint="default"/>
      </w:rPr>
    </w:lvl>
    <w:lvl w:ilvl="7" w:tplc="04090003" w:tentative="1">
      <w:start w:val="1"/>
      <w:numFmt w:val="bullet"/>
      <w:lvlText w:val=""/>
      <w:lvlJc w:val="left"/>
      <w:pPr>
        <w:ind w:left="3659" w:hanging="420"/>
      </w:pPr>
      <w:rPr>
        <w:rFonts w:ascii="Wingdings" w:hAnsi="Wingdings" w:hint="default"/>
      </w:rPr>
    </w:lvl>
    <w:lvl w:ilvl="8" w:tplc="04090005" w:tentative="1">
      <w:start w:val="1"/>
      <w:numFmt w:val="bullet"/>
      <w:lvlText w:val=""/>
      <w:lvlJc w:val="left"/>
      <w:pPr>
        <w:ind w:left="4079" w:hanging="420"/>
      </w:pPr>
      <w:rPr>
        <w:rFonts w:ascii="Wingdings" w:hAnsi="Wingdings" w:hint="default"/>
      </w:rPr>
    </w:lvl>
  </w:abstractNum>
  <w:abstractNum w:abstractNumId="4" w15:restartNumberingAfterBreak="0">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8686AB7"/>
    <w:multiLevelType w:val="hybridMultilevel"/>
    <w:tmpl w:val="D0CE19E2"/>
    <w:lvl w:ilvl="0" w:tplc="3A0070E2">
      <w:start w:val="1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E2330"/>
    <w:multiLevelType w:val="hybridMultilevel"/>
    <w:tmpl w:val="1E843340"/>
    <w:lvl w:ilvl="0" w:tplc="905E03AE">
      <w:start w:val="1"/>
      <w:numFmt w:val="bullet"/>
      <w:lvlText w:val="•"/>
      <w:lvlJc w:val="left"/>
      <w:pPr>
        <w:tabs>
          <w:tab w:val="num" w:pos="720"/>
        </w:tabs>
        <w:ind w:left="720" w:hanging="360"/>
      </w:pPr>
      <w:rPr>
        <w:rFonts w:ascii="Arial" w:hAnsi="Arial" w:hint="default"/>
      </w:rPr>
    </w:lvl>
    <w:lvl w:ilvl="1" w:tplc="787CA5AA" w:tentative="1">
      <w:start w:val="1"/>
      <w:numFmt w:val="bullet"/>
      <w:lvlText w:val="•"/>
      <w:lvlJc w:val="left"/>
      <w:pPr>
        <w:tabs>
          <w:tab w:val="num" w:pos="1440"/>
        </w:tabs>
        <w:ind w:left="1440" w:hanging="360"/>
      </w:pPr>
      <w:rPr>
        <w:rFonts w:ascii="Arial" w:hAnsi="Arial" w:hint="default"/>
      </w:rPr>
    </w:lvl>
    <w:lvl w:ilvl="2" w:tplc="DB50231A">
      <w:start w:val="1"/>
      <w:numFmt w:val="bullet"/>
      <w:lvlText w:val="•"/>
      <w:lvlJc w:val="left"/>
      <w:pPr>
        <w:tabs>
          <w:tab w:val="num" w:pos="2160"/>
        </w:tabs>
        <w:ind w:left="2160" w:hanging="360"/>
      </w:pPr>
      <w:rPr>
        <w:rFonts w:ascii="Arial" w:hAnsi="Arial" w:hint="default"/>
      </w:rPr>
    </w:lvl>
    <w:lvl w:ilvl="3" w:tplc="0EC89028" w:tentative="1">
      <w:start w:val="1"/>
      <w:numFmt w:val="bullet"/>
      <w:lvlText w:val="•"/>
      <w:lvlJc w:val="left"/>
      <w:pPr>
        <w:tabs>
          <w:tab w:val="num" w:pos="2880"/>
        </w:tabs>
        <w:ind w:left="2880" w:hanging="360"/>
      </w:pPr>
      <w:rPr>
        <w:rFonts w:ascii="Arial" w:hAnsi="Arial" w:hint="default"/>
      </w:rPr>
    </w:lvl>
    <w:lvl w:ilvl="4" w:tplc="F726F5D2" w:tentative="1">
      <w:start w:val="1"/>
      <w:numFmt w:val="bullet"/>
      <w:lvlText w:val="•"/>
      <w:lvlJc w:val="left"/>
      <w:pPr>
        <w:tabs>
          <w:tab w:val="num" w:pos="3600"/>
        </w:tabs>
        <w:ind w:left="3600" w:hanging="360"/>
      </w:pPr>
      <w:rPr>
        <w:rFonts w:ascii="Arial" w:hAnsi="Arial" w:hint="default"/>
      </w:rPr>
    </w:lvl>
    <w:lvl w:ilvl="5" w:tplc="3DF2DFD2" w:tentative="1">
      <w:start w:val="1"/>
      <w:numFmt w:val="bullet"/>
      <w:lvlText w:val="•"/>
      <w:lvlJc w:val="left"/>
      <w:pPr>
        <w:tabs>
          <w:tab w:val="num" w:pos="4320"/>
        </w:tabs>
        <w:ind w:left="4320" w:hanging="360"/>
      </w:pPr>
      <w:rPr>
        <w:rFonts w:ascii="Arial" w:hAnsi="Arial" w:hint="default"/>
      </w:rPr>
    </w:lvl>
    <w:lvl w:ilvl="6" w:tplc="2522EC86" w:tentative="1">
      <w:start w:val="1"/>
      <w:numFmt w:val="bullet"/>
      <w:lvlText w:val="•"/>
      <w:lvlJc w:val="left"/>
      <w:pPr>
        <w:tabs>
          <w:tab w:val="num" w:pos="5040"/>
        </w:tabs>
        <w:ind w:left="5040" w:hanging="360"/>
      </w:pPr>
      <w:rPr>
        <w:rFonts w:ascii="Arial" w:hAnsi="Arial" w:hint="default"/>
      </w:rPr>
    </w:lvl>
    <w:lvl w:ilvl="7" w:tplc="81D2DE16" w:tentative="1">
      <w:start w:val="1"/>
      <w:numFmt w:val="bullet"/>
      <w:lvlText w:val="•"/>
      <w:lvlJc w:val="left"/>
      <w:pPr>
        <w:tabs>
          <w:tab w:val="num" w:pos="5760"/>
        </w:tabs>
        <w:ind w:left="5760" w:hanging="360"/>
      </w:pPr>
      <w:rPr>
        <w:rFonts w:ascii="Arial" w:hAnsi="Arial" w:hint="default"/>
      </w:rPr>
    </w:lvl>
    <w:lvl w:ilvl="8" w:tplc="827418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FE59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71368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5B743B69"/>
    <w:multiLevelType w:val="hybridMultilevel"/>
    <w:tmpl w:val="F76CA67C"/>
    <w:lvl w:ilvl="0" w:tplc="62BC4A74">
      <w:start w:val="1"/>
      <w:numFmt w:val="bullet"/>
      <w:lvlText w:val="•"/>
      <w:lvlJc w:val="left"/>
      <w:pPr>
        <w:tabs>
          <w:tab w:val="num" w:pos="720"/>
        </w:tabs>
        <w:ind w:left="720" w:hanging="360"/>
      </w:pPr>
      <w:rPr>
        <w:rFonts w:ascii="Arial" w:hAnsi="Arial" w:hint="default"/>
      </w:rPr>
    </w:lvl>
    <w:lvl w:ilvl="1" w:tplc="B07AE90C" w:tentative="1">
      <w:start w:val="1"/>
      <w:numFmt w:val="bullet"/>
      <w:lvlText w:val="•"/>
      <w:lvlJc w:val="left"/>
      <w:pPr>
        <w:tabs>
          <w:tab w:val="num" w:pos="1440"/>
        </w:tabs>
        <w:ind w:left="1440" w:hanging="360"/>
      </w:pPr>
      <w:rPr>
        <w:rFonts w:ascii="Arial" w:hAnsi="Arial" w:hint="default"/>
      </w:rPr>
    </w:lvl>
    <w:lvl w:ilvl="2" w:tplc="2D50C606">
      <w:start w:val="1"/>
      <w:numFmt w:val="bullet"/>
      <w:lvlText w:val="•"/>
      <w:lvlJc w:val="left"/>
      <w:pPr>
        <w:tabs>
          <w:tab w:val="num" w:pos="2160"/>
        </w:tabs>
        <w:ind w:left="2160" w:hanging="360"/>
      </w:pPr>
      <w:rPr>
        <w:rFonts w:ascii="Arial" w:hAnsi="Arial" w:hint="default"/>
      </w:rPr>
    </w:lvl>
    <w:lvl w:ilvl="3" w:tplc="709A274A" w:tentative="1">
      <w:start w:val="1"/>
      <w:numFmt w:val="bullet"/>
      <w:lvlText w:val="•"/>
      <w:lvlJc w:val="left"/>
      <w:pPr>
        <w:tabs>
          <w:tab w:val="num" w:pos="2880"/>
        </w:tabs>
        <w:ind w:left="2880" w:hanging="360"/>
      </w:pPr>
      <w:rPr>
        <w:rFonts w:ascii="Arial" w:hAnsi="Arial" w:hint="default"/>
      </w:rPr>
    </w:lvl>
    <w:lvl w:ilvl="4" w:tplc="B9E8AD44" w:tentative="1">
      <w:start w:val="1"/>
      <w:numFmt w:val="bullet"/>
      <w:lvlText w:val="•"/>
      <w:lvlJc w:val="left"/>
      <w:pPr>
        <w:tabs>
          <w:tab w:val="num" w:pos="3600"/>
        </w:tabs>
        <w:ind w:left="3600" w:hanging="360"/>
      </w:pPr>
      <w:rPr>
        <w:rFonts w:ascii="Arial" w:hAnsi="Arial" w:hint="default"/>
      </w:rPr>
    </w:lvl>
    <w:lvl w:ilvl="5" w:tplc="9C70FC98" w:tentative="1">
      <w:start w:val="1"/>
      <w:numFmt w:val="bullet"/>
      <w:lvlText w:val="•"/>
      <w:lvlJc w:val="left"/>
      <w:pPr>
        <w:tabs>
          <w:tab w:val="num" w:pos="4320"/>
        </w:tabs>
        <w:ind w:left="4320" w:hanging="360"/>
      </w:pPr>
      <w:rPr>
        <w:rFonts w:ascii="Arial" w:hAnsi="Arial" w:hint="default"/>
      </w:rPr>
    </w:lvl>
    <w:lvl w:ilvl="6" w:tplc="1130DA4E" w:tentative="1">
      <w:start w:val="1"/>
      <w:numFmt w:val="bullet"/>
      <w:lvlText w:val="•"/>
      <w:lvlJc w:val="left"/>
      <w:pPr>
        <w:tabs>
          <w:tab w:val="num" w:pos="5040"/>
        </w:tabs>
        <w:ind w:left="5040" w:hanging="360"/>
      </w:pPr>
      <w:rPr>
        <w:rFonts w:ascii="Arial" w:hAnsi="Arial" w:hint="default"/>
      </w:rPr>
    </w:lvl>
    <w:lvl w:ilvl="7" w:tplc="6F6CE010" w:tentative="1">
      <w:start w:val="1"/>
      <w:numFmt w:val="bullet"/>
      <w:lvlText w:val="•"/>
      <w:lvlJc w:val="left"/>
      <w:pPr>
        <w:tabs>
          <w:tab w:val="num" w:pos="5760"/>
        </w:tabs>
        <w:ind w:left="5760" w:hanging="360"/>
      </w:pPr>
      <w:rPr>
        <w:rFonts w:ascii="Arial" w:hAnsi="Arial" w:hint="default"/>
      </w:rPr>
    </w:lvl>
    <w:lvl w:ilvl="8" w:tplc="514AE0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4876CCA"/>
    <w:multiLevelType w:val="hybridMultilevel"/>
    <w:tmpl w:val="972AA6F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2D4A44"/>
    <w:multiLevelType w:val="hybridMultilevel"/>
    <w:tmpl w:val="ABE4DB56"/>
    <w:lvl w:ilvl="0" w:tplc="01C6885C">
      <w:start w:val="1"/>
      <w:numFmt w:val="bullet"/>
      <w:lvlText w:val="•"/>
      <w:lvlJc w:val="left"/>
      <w:pPr>
        <w:tabs>
          <w:tab w:val="num" w:pos="720"/>
        </w:tabs>
        <w:ind w:left="720" w:hanging="360"/>
      </w:pPr>
      <w:rPr>
        <w:rFonts w:ascii="Arial" w:hAnsi="Arial" w:hint="default"/>
      </w:rPr>
    </w:lvl>
    <w:lvl w:ilvl="1" w:tplc="971EF792" w:tentative="1">
      <w:start w:val="1"/>
      <w:numFmt w:val="bullet"/>
      <w:lvlText w:val="•"/>
      <w:lvlJc w:val="left"/>
      <w:pPr>
        <w:tabs>
          <w:tab w:val="num" w:pos="1440"/>
        </w:tabs>
        <w:ind w:left="1440" w:hanging="360"/>
      </w:pPr>
      <w:rPr>
        <w:rFonts w:ascii="Arial" w:hAnsi="Arial" w:hint="default"/>
      </w:rPr>
    </w:lvl>
    <w:lvl w:ilvl="2" w:tplc="2D602508">
      <w:start w:val="1"/>
      <w:numFmt w:val="bullet"/>
      <w:lvlText w:val="•"/>
      <w:lvlJc w:val="left"/>
      <w:pPr>
        <w:tabs>
          <w:tab w:val="num" w:pos="2160"/>
        </w:tabs>
        <w:ind w:left="2160" w:hanging="360"/>
      </w:pPr>
      <w:rPr>
        <w:rFonts w:ascii="Arial" w:hAnsi="Arial" w:hint="default"/>
      </w:rPr>
    </w:lvl>
    <w:lvl w:ilvl="3" w:tplc="29E47A96" w:tentative="1">
      <w:start w:val="1"/>
      <w:numFmt w:val="bullet"/>
      <w:lvlText w:val="•"/>
      <w:lvlJc w:val="left"/>
      <w:pPr>
        <w:tabs>
          <w:tab w:val="num" w:pos="2880"/>
        </w:tabs>
        <w:ind w:left="2880" w:hanging="360"/>
      </w:pPr>
      <w:rPr>
        <w:rFonts w:ascii="Arial" w:hAnsi="Arial" w:hint="default"/>
      </w:rPr>
    </w:lvl>
    <w:lvl w:ilvl="4" w:tplc="4F666610" w:tentative="1">
      <w:start w:val="1"/>
      <w:numFmt w:val="bullet"/>
      <w:lvlText w:val="•"/>
      <w:lvlJc w:val="left"/>
      <w:pPr>
        <w:tabs>
          <w:tab w:val="num" w:pos="3600"/>
        </w:tabs>
        <w:ind w:left="3600" w:hanging="360"/>
      </w:pPr>
      <w:rPr>
        <w:rFonts w:ascii="Arial" w:hAnsi="Arial" w:hint="default"/>
      </w:rPr>
    </w:lvl>
    <w:lvl w:ilvl="5" w:tplc="E810534A" w:tentative="1">
      <w:start w:val="1"/>
      <w:numFmt w:val="bullet"/>
      <w:lvlText w:val="•"/>
      <w:lvlJc w:val="left"/>
      <w:pPr>
        <w:tabs>
          <w:tab w:val="num" w:pos="4320"/>
        </w:tabs>
        <w:ind w:left="4320" w:hanging="360"/>
      </w:pPr>
      <w:rPr>
        <w:rFonts w:ascii="Arial" w:hAnsi="Arial" w:hint="default"/>
      </w:rPr>
    </w:lvl>
    <w:lvl w:ilvl="6" w:tplc="CF3E1520" w:tentative="1">
      <w:start w:val="1"/>
      <w:numFmt w:val="bullet"/>
      <w:lvlText w:val="•"/>
      <w:lvlJc w:val="left"/>
      <w:pPr>
        <w:tabs>
          <w:tab w:val="num" w:pos="5040"/>
        </w:tabs>
        <w:ind w:left="5040" w:hanging="360"/>
      </w:pPr>
      <w:rPr>
        <w:rFonts w:ascii="Arial" w:hAnsi="Arial" w:hint="default"/>
      </w:rPr>
    </w:lvl>
    <w:lvl w:ilvl="7" w:tplc="F4ACEB36" w:tentative="1">
      <w:start w:val="1"/>
      <w:numFmt w:val="bullet"/>
      <w:lvlText w:val="•"/>
      <w:lvlJc w:val="left"/>
      <w:pPr>
        <w:tabs>
          <w:tab w:val="num" w:pos="5760"/>
        </w:tabs>
        <w:ind w:left="5760" w:hanging="360"/>
      </w:pPr>
      <w:rPr>
        <w:rFonts w:ascii="Arial" w:hAnsi="Arial" w:hint="default"/>
      </w:rPr>
    </w:lvl>
    <w:lvl w:ilvl="8" w:tplc="309C1E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7"/>
  </w:num>
  <w:num w:numId="2">
    <w:abstractNumId w:val="16"/>
  </w:num>
  <w:num w:numId="3">
    <w:abstractNumId w:val="2"/>
  </w:num>
  <w:num w:numId="4">
    <w:abstractNumId w:val="1"/>
  </w:num>
  <w:num w:numId="5">
    <w:abstractNumId w:val="10"/>
  </w:num>
  <w:num w:numId="6">
    <w:abstractNumId w:val="13"/>
  </w:num>
  <w:num w:numId="7">
    <w:abstractNumId w:val="0"/>
  </w:num>
  <w:num w:numId="8">
    <w:abstractNumId w:val="6"/>
  </w:num>
  <w:num w:numId="9">
    <w:abstractNumId w:val="7"/>
  </w:num>
  <w:num w:numId="10">
    <w:abstractNumId w:val="4"/>
  </w:num>
  <w:num w:numId="11">
    <w:abstractNumId w:val="12"/>
  </w:num>
  <w:num w:numId="12">
    <w:abstractNumId w:val="8"/>
  </w:num>
  <w:num w:numId="13">
    <w:abstractNumId w:val="14"/>
  </w:num>
  <w:num w:numId="14">
    <w:abstractNumId w:val="15"/>
  </w:num>
  <w:num w:numId="15">
    <w:abstractNumId w:val="11"/>
  </w:num>
  <w:num w:numId="16">
    <w:abstractNumId w:val="3"/>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31E1"/>
    <w:rsid w:val="0001558F"/>
    <w:rsid w:val="00024DE8"/>
    <w:rsid w:val="00025058"/>
    <w:rsid w:val="0002616B"/>
    <w:rsid w:val="000336CE"/>
    <w:rsid w:val="000713F2"/>
    <w:rsid w:val="00072D64"/>
    <w:rsid w:val="000A4F6B"/>
    <w:rsid w:val="000B0588"/>
    <w:rsid w:val="000C0C0B"/>
    <w:rsid w:val="000D163E"/>
    <w:rsid w:val="00101238"/>
    <w:rsid w:val="0010131F"/>
    <w:rsid w:val="00110FF1"/>
    <w:rsid w:val="00145F49"/>
    <w:rsid w:val="00154760"/>
    <w:rsid w:val="00177584"/>
    <w:rsid w:val="001A755D"/>
    <w:rsid w:val="001D0568"/>
    <w:rsid w:val="001D6A5A"/>
    <w:rsid w:val="00200158"/>
    <w:rsid w:val="00203D4A"/>
    <w:rsid w:val="002427A4"/>
    <w:rsid w:val="00280D74"/>
    <w:rsid w:val="002C07D7"/>
    <w:rsid w:val="002D139B"/>
    <w:rsid w:val="002E052E"/>
    <w:rsid w:val="00306294"/>
    <w:rsid w:val="00314783"/>
    <w:rsid w:val="003157C2"/>
    <w:rsid w:val="00343F92"/>
    <w:rsid w:val="003753CE"/>
    <w:rsid w:val="003F242A"/>
    <w:rsid w:val="00403336"/>
    <w:rsid w:val="00404DB5"/>
    <w:rsid w:val="004441BA"/>
    <w:rsid w:val="00460F71"/>
    <w:rsid w:val="00467C66"/>
    <w:rsid w:val="00473D7F"/>
    <w:rsid w:val="0048231B"/>
    <w:rsid w:val="0049439B"/>
    <w:rsid w:val="00494911"/>
    <w:rsid w:val="004A0EBD"/>
    <w:rsid w:val="004B176C"/>
    <w:rsid w:val="004B3DFE"/>
    <w:rsid w:val="004E2808"/>
    <w:rsid w:val="004F79F0"/>
    <w:rsid w:val="00503709"/>
    <w:rsid w:val="00543855"/>
    <w:rsid w:val="0054389C"/>
    <w:rsid w:val="00544C09"/>
    <w:rsid w:val="005812FD"/>
    <w:rsid w:val="0059075A"/>
    <w:rsid w:val="00612930"/>
    <w:rsid w:val="00617A79"/>
    <w:rsid w:val="00623670"/>
    <w:rsid w:val="00646419"/>
    <w:rsid w:val="00650188"/>
    <w:rsid w:val="0067210E"/>
    <w:rsid w:val="0067639D"/>
    <w:rsid w:val="006A69F0"/>
    <w:rsid w:val="006D7986"/>
    <w:rsid w:val="006F000C"/>
    <w:rsid w:val="007070F1"/>
    <w:rsid w:val="007135D2"/>
    <w:rsid w:val="00724975"/>
    <w:rsid w:val="007409ED"/>
    <w:rsid w:val="00747DE7"/>
    <w:rsid w:val="007534D3"/>
    <w:rsid w:val="00765858"/>
    <w:rsid w:val="00766CC9"/>
    <w:rsid w:val="00781640"/>
    <w:rsid w:val="007B4524"/>
    <w:rsid w:val="00801DF1"/>
    <w:rsid w:val="00804E4F"/>
    <w:rsid w:val="00836B6A"/>
    <w:rsid w:val="008703B3"/>
    <w:rsid w:val="00872C4D"/>
    <w:rsid w:val="00883B49"/>
    <w:rsid w:val="008858F5"/>
    <w:rsid w:val="00896E69"/>
    <w:rsid w:val="008E3AE3"/>
    <w:rsid w:val="00914480"/>
    <w:rsid w:val="00927F9D"/>
    <w:rsid w:val="009C1862"/>
    <w:rsid w:val="009F680C"/>
    <w:rsid w:val="00A11EC7"/>
    <w:rsid w:val="00A12B44"/>
    <w:rsid w:val="00A13298"/>
    <w:rsid w:val="00A16533"/>
    <w:rsid w:val="00A3767B"/>
    <w:rsid w:val="00B06F54"/>
    <w:rsid w:val="00B36367"/>
    <w:rsid w:val="00B7345F"/>
    <w:rsid w:val="00B83D43"/>
    <w:rsid w:val="00B90116"/>
    <w:rsid w:val="00BC06A8"/>
    <w:rsid w:val="00BD63E7"/>
    <w:rsid w:val="00C21AD5"/>
    <w:rsid w:val="00C21ECC"/>
    <w:rsid w:val="00C65236"/>
    <w:rsid w:val="00C663E2"/>
    <w:rsid w:val="00CC7309"/>
    <w:rsid w:val="00CF7FFC"/>
    <w:rsid w:val="00D0033B"/>
    <w:rsid w:val="00D06AA0"/>
    <w:rsid w:val="00D22C48"/>
    <w:rsid w:val="00D23106"/>
    <w:rsid w:val="00D7226B"/>
    <w:rsid w:val="00D80C09"/>
    <w:rsid w:val="00D84BA4"/>
    <w:rsid w:val="00D851E7"/>
    <w:rsid w:val="00DB1E7D"/>
    <w:rsid w:val="00DD2A2B"/>
    <w:rsid w:val="00DE3D3B"/>
    <w:rsid w:val="00E17647"/>
    <w:rsid w:val="00E22AFE"/>
    <w:rsid w:val="00E53D96"/>
    <w:rsid w:val="00E66840"/>
    <w:rsid w:val="00E67775"/>
    <w:rsid w:val="00E75C7E"/>
    <w:rsid w:val="00EA75AF"/>
    <w:rsid w:val="00F041C4"/>
    <w:rsid w:val="00F97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AC684"/>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paragraph" w:customStyle="1" w:styleId="B1">
    <w:name w:val="B1"/>
    <w:basedOn w:val="a"/>
    <w:link w:val="B1Zchn"/>
    <w:qFormat/>
    <w:rsid w:val="000336CE"/>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0336CE"/>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470162">
      <w:bodyDiv w:val="1"/>
      <w:marLeft w:val="0"/>
      <w:marRight w:val="0"/>
      <w:marTop w:val="0"/>
      <w:marBottom w:val="0"/>
      <w:divBdr>
        <w:top w:val="none" w:sz="0" w:space="0" w:color="auto"/>
        <w:left w:val="none" w:sz="0" w:space="0" w:color="auto"/>
        <w:bottom w:val="none" w:sz="0" w:space="0" w:color="auto"/>
        <w:right w:val="none" w:sz="0" w:space="0" w:color="auto"/>
      </w:divBdr>
      <w:divsChild>
        <w:div w:id="103161372">
          <w:marLeft w:val="1800"/>
          <w:marRight w:val="0"/>
          <w:marTop w:val="53"/>
          <w:marBottom w:val="0"/>
          <w:divBdr>
            <w:top w:val="none" w:sz="0" w:space="0" w:color="auto"/>
            <w:left w:val="none" w:sz="0" w:space="0" w:color="auto"/>
            <w:bottom w:val="none" w:sz="0" w:space="0" w:color="auto"/>
            <w:right w:val="none" w:sz="0" w:space="0" w:color="auto"/>
          </w:divBdr>
        </w:div>
      </w:divsChild>
    </w:div>
    <w:div w:id="709300492">
      <w:bodyDiv w:val="1"/>
      <w:marLeft w:val="0"/>
      <w:marRight w:val="0"/>
      <w:marTop w:val="0"/>
      <w:marBottom w:val="0"/>
      <w:divBdr>
        <w:top w:val="none" w:sz="0" w:space="0" w:color="auto"/>
        <w:left w:val="none" w:sz="0" w:space="0" w:color="auto"/>
        <w:bottom w:val="none" w:sz="0" w:space="0" w:color="auto"/>
        <w:right w:val="none" w:sz="0" w:space="0" w:color="auto"/>
      </w:divBdr>
      <w:divsChild>
        <w:div w:id="628819713">
          <w:marLeft w:val="1800"/>
          <w:marRight w:val="0"/>
          <w:marTop w:val="53"/>
          <w:marBottom w:val="0"/>
          <w:divBdr>
            <w:top w:val="none" w:sz="0" w:space="0" w:color="auto"/>
            <w:left w:val="none" w:sz="0" w:space="0" w:color="auto"/>
            <w:bottom w:val="none" w:sz="0" w:space="0" w:color="auto"/>
            <w:right w:val="none" w:sz="0" w:space="0" w:color="auto"/>
          </w:divBdr>
        </w:div>
      </w:divsChild>
    </w:div>
    <w:div w:id="2053576433">
      <w:bodyDiv w:val="1"/>
      <w:marLeft w:val="0"/>
      <w:marRight w:val="0"/>
      <w:marTop w:val="0"/>
      <w:marBottom w:val="0"/>
      <w:divBdr>
        <w:top w:val="none" w:sz="0" w:space="0" w:color="auto"/>
        <w:left w:val="none" w:sz="0" w:space="0" w:color="auto"/>
        <w:bottom w:val="none" w:sz="0" w:space="0" w:color="auto"/>
        <w:right w:val="none" w:sz="0" w:space="0" w:color="auto"/>
      </w:divBdr>
      <w:divsChild>
        <w:div w:id="10827965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2555</TotalTime>
  <Pages>5</Pages>
  <Words>1551</Words>
  <Characters>8845</Characters>
  <Application>Microsoft Office Word</Application>
  <DocSecurity>0</DocSecurity>
  <Lines>73</Lines>
  <Paragraphs>20</Paragraphs>
  <ScaleCrop>false</ScaleCrop>
  <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43</cp:revision>
  <dcterms:created xsi:type="dcterms:W3CDTF">2020-12-18T08:31:00Z</dcterms:created>
  <dcterms:modified xsi:type="dcterms:W3CDTF">2021-10-22T08:59:00Z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